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b/>
          <w:sz w:val="32"/>
          <w:szCs w:val="32"/>
          <w:highlight w:val="none"/>
          <w:lang w:val="en-US" w:eastAsia="zh-CN"/>
        </w:rPr>
      </w:pPr>
      <w:r>
        <w:rPr>
          <w:rFonts w:hint="eastAsia" w:ascii="Times New Roman" w:hAnsi="Times New Roman" w:eastAsia="黑体" w:cs="Times New Roman"/>
          <w:b/>
          <w:sz w:val="32"/>
          <w:szCs w:val="32"/>
          <w:highlight w:val="none"/>
          <w:lang w:val="en-US" w:eastAsia="zh-CN"/>
        </w:rPr>
        <w:t>附件3：</w:t>
      </w:r>
    </w:p>
    <w:p>
      <w:pPr>
        <w:jc w:val="center"/>
        <w:rPr>
          <w:rFonts w:hint="default" w:ascii="方正小标宋简体" w:hAnsi="方正小标宋简体" w:eastAsia="方正小标宋简体" w:cs="方正小标宋简体"/>
          <w:b w:val="0"/>
          <w:bCs/>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lang w:val="en-US" w:eastAsia="zh-CN"/>
        </w:rPr>
        <w:t>桂林电子科技大学博士后招收研究方向及待遇</w:t>
      </w:r>
    </w:p>
    <w:p>
      <w:pPr>
        <w:jc w:val="left"/>
        <w:rPr>
          <w:rFonts w:hint="eastAsia" w:asciiTheme="minorEastAsia" w:hAnsiTheme="minorEastAsia" w:eastAsiaTheme="minorEastAsia" w:cstheme="minorEastAsia"/>
          <w:b/>
          <w:sz w:val="32"/>
          <w:szCs w:val="32"/>
          <w:highlight w:val="none"/>
          <w:lang w:val="en-US" w:eastAsia="zh-CN"/>
        </w:rPr>
      </w:pPr>
      <w:r>
        <w:rPr>
          <w:rFonts w:hint="eastAsia" w:asciiTheme="minorEastAsia" w:hAnsiTheme="minorEastAsia" w:eastAsiaTheme="minorEastAsia" w:cstheme="minorEastAsia"/>
          <w:b/>
          <w:sz w:val="32"/>
          <w:szCs w:val="32"/>
          <w:highlight w:val="none"/>
          <w:lang w:val="en-US" w:eastAsia="zh-CN"/>
        </w:rPr>
        <w:t>一、博士后研究方向</w:t>
      </w:r>
    </w:p>
    <w:tbl>
      <w:tblPr>
        <w:tblStyle w:val="5"/>
        <w:tblW w:w="8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22"/>
        <w:gridCol w:w="4580"/>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招收方向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团队负责人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卫星导航与位置服务课题组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卫星导航</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遥感与地理信息</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无人机系统智能感知导航技术等相关方向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孙希延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图形图像学与智能信息处理课题组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人工智能，计算机视觉，应用数学等研究方向及其相关学科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图形图像处理</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罗笑南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室内定位课题组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室内定位系统，无线通信，阵列信号处理，物联网技术，人工智能，生物识别以及智能机器人等技术</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李冀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太赫兹研究中心</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太赫兹科学与技术，超材料、超表面，表面等离激元，海洋新能源</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韩家广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光纤技术课题组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光纤技术与应用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苑立波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微电子器件与集成技术</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微纳器件研究方向及其相关学科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李海鸥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智能视觉感知与信号处理</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多模态大模型系统、智能推荐模型、文生图/视频模型</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蔡晓东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密码学与信息安全课题组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网络空间安全学科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韦永壮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新能源科学与技术</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制储检氢材料、相变储能，电子封装/建筑节能材料，超级电容器、锂离子/镍氢/燃料电池及电动汽车，氢及化学生物传感器，智能仪器与数据库构建，热力学与理论计算研究。</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孙立贤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有机光电材料与器件课题组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光电材料、纳米材料，发光二极管/太阳能电池材料与器件，柔性印刷光电材料与应用，太阳能光催化与光电催化制氢</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张坚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招收方向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团队负责人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智能医学检测与仪器课题组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left"/>
              <w:textAlignment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疾病早期诊断与纳米医学、纳米探针与医学检测、数字孪生心脏及心功能评估、组织器官与生物制造、脑卒中与微波成像</w:t>
            </w:r>
            <w:r>
              <w:rPr>
                <w:rFonts w:hint="default" w:ascii="Times New Roman" w:hAnsi="Times New Roman" w:eastAsia="仿宋_GB2312" w:cs="Times New Roman"/>
                <w:color w:val="auto"/>
                <w:sz w:val="24"/>
                <w:szCs w:val="24"/>
                <w:highlight w:val="none"/>
                <w:lang w:eastAsia="zh-CN"/>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陈真诚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微纳光电检测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精密光电检测</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位移测量</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仪器类专业。</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张文涛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新能源电池</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高镍三元正极材料的开发及产业化，富锂锰基高能量密度正极材料开发，钠离子电池关键正极材料开发、高能量密度硅基负极材料开发，高离子电导率固态电解质开发。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俞兆喆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电子封装材料、工艺与设备</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微连接工艺与原理、电子封装材料、钎焊与特种连接、精密仪器与机器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秦红波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智能网联与场景化系统</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端边云协同智能、感传算一体化、生成式人工智能、综合交通大数据等</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李晓欢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机器学习与大数据隐私保护课题组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隐私保护机器学习</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大数据安全与隐私保护</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数值代数及其在大数据处理中的应用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段雪峰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智能机器人与复杂系统控制课题组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智能机器人控制，深度学习，复杂网络同步，无人驾驶系统等研究方向与相关学科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伍锡如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智慧交通课题组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交通全息感知与管控决策，智能交通基础设施，交通大数据智能计算技术、交通安全，数据驱动的交通治理与优化等相关研究</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王涛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单光子探测技术与光电检测芯片</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单光子探测技术</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dToF测距</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片上光谱仪</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光电探测材料、器件及其相关技术。</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邓仕杰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光纤集成光子学课题组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光纤技术，光镊技术，光传感技术，微流控技术等。</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邓洪昌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产品数字化设计及机械动力学</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汽车自动驾驶，机械动力学，产品数字化设计与优化设计</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刘夫云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招收方向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团队负责人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装备智能运维与主动控制</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汽车智能驾驶、线控底盘、新能源</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方向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，机电设备故障诊断、状态监测与可靠性</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何水龙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车辆动力学与智能控制</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智能线控底盘，车辆动力学与控制，智能驾驶，混合动力控制</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景晖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特</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种材料激光加工技术</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激光加工工艺技术及装备研发及其相关学科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龙芋宏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先进电子制造工艺技术课题组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先进电子制造工艺创新技术及其相关学科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李春泉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热管理与节能课题组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电子设备与器件热管理，新能源汽车热管理，制冷与空调，低碳节能技术</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梁才航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复杂系统控制与仿生设计课题组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复杂机电系统控制及其相关学科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周祖鹏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3"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功率电子及机电设备可靠性研究</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工程热物理研究方向及其相关学科。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智能制造与机器人技术</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机械装备运行状态智能感知、机械装备性能智能监测、2D/3D机器视觉智能感知</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王海舰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天线与射频研究课题组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电磁辐射与散射，天线理论与设计，射频电路与复杂系统技术，电磁超材料的理论和应用，计算电磁学和电磁散射研究，深度学习及应用、光电子器件，微波光子技术、光纤传感技术，通信信号处理与识别</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曹卫平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光通信课题组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无线光通信技术，水下目标探测，图像处理，自然语言处理</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敖珺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天线与电磁测量课题组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微波技术与天线</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彭麟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2"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招收方向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团队负责人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7"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区块链与新型网络安全课题组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密码学、网络安全、区块链</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丁勇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可信软件课题组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公平机器学习，智能推荐，知识图谱，数据要素与数据安全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常亮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认知计算课题组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自然语言处理及其应用，人工智能技术及其应用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黄桂敏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机器学习与媒体分析课题组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机器学习与媒体分析</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文益民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自动检测技术与智能仪器</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自动检测技术与智能仪器，集成电路设计与测试，人体生理检测技术与仪器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许川佩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太赫兹技术及应用课题组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仪器科学与技术、光学工程、电子科学与技术、生物医学工程</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胡放荣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计算机辅助测试课题组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计算感知与成像，精密仪器设计等</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马峻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稀土功能材料研究</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团队课题组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材料热力学/动力学计算模拟，金属材料结构与性能，稀土功能材料等材料学科相关方向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王江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金属材料加工及表面改性</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金属新材料设计、加工及表面改性研究，采用计算相图、机器学习、材料基因组工程与大数据等人工智能设计方法开展新型金属材料设计、加工及表面改性等</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王成磊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新能源科学与技术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高分子阻燃材料</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邹勇进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光学遥感研究团队课题组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光学遥感研究方向及光学工程，仪器科学与技术相关学科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叶松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超快光子技术课题组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光纤传感、光子技术，物理学、光学工程、材料学</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曲士良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招收方向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4"/>
                <w:szCs w:val="24"/>
                <w:highlight w:val="none"/>
                <w14:textFill>
                  <w14:solidFill>
                    <w14:schemeClr w14:val="tx1"/>
                  </w14:solidFill>
                </w14:textFill>
              </w:rPr>
              <w:t>团队负责人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生物光子中心课题组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光电检测和纳米材料开发，新算法开发，生物过程控制</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阮银兰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医学影像智能分析课题组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鼻咽癌影像组学大数据分析及相关学科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陈洪波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8"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碳中和及智能仪器课题组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仪器科学与技术，化学固碳，环境监测仪器</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梁英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人体生理生化信息无创检测课题组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left"/>
              <w:textAlignment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生物医学工程、仪器科学与技术、医学电子仪器等研究方向及其相关学科</w:t>
            </w:r>
            <w:r>
              <w:rPr>
                <w:rFonts w:hint="default" w:ascii="Times New Roman" w:hAnsi="Times New Roman" w:eastAsia="仿宋_GB2312" w:cs="Times New Roman"/>
                <w:color w:val="auto"/>
                <w:sz w:val="24"/>
                <w:szCs w:val="24"/>
                <w:highlight w:val="none"/>
                <w:lang w:eastAsia="zh-CN"/>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line="405" w:lineRule="atLeast"/>
              <w:jc w:val="center"/>
              <w:textAlignment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朱健铭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9"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spacing w:before="0" w:beforeAutospacing="0" w:after="0" w:afterAutospacing="0" w:line="405" w:lineRule="atLeas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脑机接口与智能仪器课题组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spacing w:before="0" w:beforeAutospacing="0" w:after="0" w:afterAutospacing="0" w:line="405" w:lineRule="atLeast"/>
              <w:jc w:val="left"/>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脑机接口、脑电/肌电生物信号处理、生物传感，神经康复</w:t>
            </w:r>
            <w:r>
              <w:rPr>
                <w:rFonts w:hint="default" w:ascii="Times New Roman" w:hAnsi="Times New Roman" w:eastAsia="仿宋_GB2312" w:cs="Times New Roman"/>
                <w:color w:val="auto"/>
                <w:sz w:val="24"/>
                <w:szCs w:val="24"/>
                <w:highlight w:val="none"/>
                <w:lang w:eastAsia="zh-CN"/>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spacing w:before="0" w:beforeAutospacing="0" w:after="0" w:afterAutospacing="0" w:line="405" w:lineRule="atLeas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梁晋涛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spacing w:before="0" w:beforeAutospacing="0" w:after="0" w:afterAutospacing="0" w:line="405" w:lineRule="atLeas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微型分析仪器课题组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spacing w:before="0" w:beforeAutospacing="0" w:after="0" w:afterAutospacing="0" w:line="405" w:lineRule="atLeast"/>
              <w:jc w:val="left"/>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rPr>
              <w:t>微机电系统（MEMS）、微流控芯片、等离子体医学、生物技术（细胞、细菌培养）、仪器科学与技术（扎实的硬件和软件基础）</w:t>
            </w:r>
            <w:r>
              <w:rPr>
                <w:rFonts w:hint="default" w:ascii="Times New Roman" w:hAnsi="Times New Roman" w:eastAsia="仿宋_GB2312" w:cs="Times New Roman"/>
                <w:color w:val="auto"/>
                <w:sz w:val="24"/>
                <w:szCs w:val="24"/>
                <w:highlight w:val="none"/>
                <w:lang w:eastAsia="zh-CN"/>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spacing w:before="0" w:beforeAutospacing="0" w:after="0" w:afterAutospacing="0" w:line="405" w:lineRule="atLeas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人工智能与机器学习课题组</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人工智能，智能超表面，计算机科学与技术，软件工程，信息与通信，电子技术，机器人学，数据科学，或其他相关学科。</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丁数学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电子束加工装备及工艺</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left"/>
              <w:textAlignment w:val="cente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特种加工装备及工艺</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机电一体化技术</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金属材料加工技术</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电子束加工装备</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电子束材料表面</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真空加工技术</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 xml:space="preserve">智能制造技术 </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刘海浪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0" w:hRule="atLeast"/>
          <w:jc w:val="center"/>
        </w:trPr>
        <w:tc>
          <w:tcPr>
            <w:tcW w:w="25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学校与广西元宇宙应用场景创新工程研究中心联合招聘博士后</w:t>
            </w:r>
          </w:p>
        </w:tc>
        <w:tc>
          <w:tcPr>
            <w:tcW w:w="45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人工智能、元宇宙、产业数字化、数字经济方向</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蒋明</w:t>
            </w:r>
          </w:p>
        </w:tc>
      </w:tr>
    </w:tbl>
    <w:p>
      <w:pPr>
        <w:jc w:val="left"/>
        <w:rPr>
          <w:rFonts w:hint="eastAsia" w:asciiTheme="minorEastAsia" w:hAnsiTheme="minorEastAsia" w:eastAsiaTheme="minorEastAsia" w:cstheme="minorEastAsia"/>
          <w:b/>
          <w:sz w:val="32"/>
          <w:szCs w:val="32"/>
          <w:highlight w:val="none"/>
          <w:lang w:val="en-US" w:eastAsia="zh-CN"/>
        </w:rPr>
      </w:pPr>
    </w:p>
    <w:p>
      <w:pPr>
        <w:jc w:val="left"/>
        <w:rPr>
          <w:rFonts w:hint="eastAsia" w:asciiTheme="minorEastAsia" w:hAnsiTheme="minorEastAsia" w:eastAsiaTheme="minorEastAsia" w:cstheme="minorEastAsia"/>
          <w:b/>
          <w:sz w:val="32"/>
          <w:szCs w:val="32"/>
          <w:highlight w:val="none"/>
          <w:lang w:val="en-US" w:eastAsia="zh-CN"/>
        </w:rPr>
      </w:pPr>
    </w:p>
    <w:p>
      <w:pPr>
        <w:jc w:val="left"/>
        <w:rPr>
          <w:rFonts w:hint="eastAsia" w:asciiTheme="minorEastAsia" w:hAnsiTheme="minorEastAsia" w:eastAsiaTheme="minorEastAsia" w:cstheme="minorEastAsia"/>
          <w:b/>
          <w:sz w:val="32"/>
          <w:szCs w:val="32"/>
          <w:highlight w:val="none"/>
          <w:lang w:val="en-US" w:eastAsia="zh-CN"/>
        </w:rPr>
      </w:pPr>
    </w:p>
    <w:p>
      <w:pPr>
        <w:jc w:val="left"/>
        <w:rPr>
          <w:rFonts w:hint="default" w:asciiTheme="minorEastAsia" w:hAnsiTheme="minorEastAsia" w:eastAsiaTheme="minorEastAsia" w:cstheme="minorEastAsia"/>
          <w:b/>
          <w:sz w:val="32"/>
          <w:szCs w:val="32"/>
          <w:highlight w:val="none"/>
          <w:lang w:val="en-US" w:eastAsia="zh-CN"/>
        </w:rPr>
      </w:pPr>
      <w:r>
        <w:rPr>
          <w:rFonts w:hint="eastAsia" w:asciiTheme="minorEastAsia" w:hAnsiTheme="minorEastAsia" w:eastAsiaTheme="minorEastAsia" w:cstheme="minorEastAsia"/>
          <w:b/>
          <w:sz w:val="32"/>
          <w:szCs w:val="32"/>
          <w:highlight w:val="none"/>
          <w:lang w:val="en-US" w:eastAsia="zh-CN"/>
        </w:rPr>
        <w:t>二、</w:t>
      </w:r>
      <w:r>
        <w:rPr>
          <w:rFonts w:hint="default" w:asciiTheme="minorEastAsia" w:hAnsiTheme="minorEastAsia" w:eastAsiaTheme="minorEastAsia" w:cstheme="minorEastAsia"/>
          <w:b/>
          <w:sz w:val="32"/>
          <w:szCs w:val="32"/>
          <w:highlight w:val="none"/>
          <w:lang w:val="en-US" w:eastAsia="zh-CN"/>
        </w:rPr>
        <w:t>博士后待遇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themeColor="text1"/>
                <w:kern w:val="0"/>
                <w:sz w:val="28"/>
                <w:szCs w:val="28"/>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8"/>
                <w:szCs w:val="28"/>
                <w:highlight w:val="none"/>
                <w14:textFill>
                  <w14:solidFill>
                    <w14:schemeClr w14:val="tx1"/>
                  </w14:solidFill>
                </w14:textFill>
              </w:rPr>
              <w:t>类别</w:t>
            </w:r>
          </w:p>
        </w:tc>
        <w:tc>
          <w:tcPr>
            <w:tcW w:w="6776"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themeColor="text1"/>
                <w:kern w:val="0"/>
                <w:sz w:val="28"/>
                <w:szCs w:val="28"/>
                <w:highlight w:val="none"/>
                <w:lang w:val="en-US" w:eastAsia="zh-CN" w:bidi="ar-SA"/>
                <w14:textFill>
                  <w14:solidFill>
                    <w14:schemeClr w14:val="tx1"/>
                  </w14:solidFill>
                </w14:textFill>
              </w:rPr>
            </w:pPr>
            <w:r>
              <w:rPr>
                <w:rStyle w:val="8"/>
                <w:rFonts w:hint="default" w:ascii="Times New Roman" w:hAnsi="Times New Roman" w:eastAsia="仿宋_GB2312" w:cs="Times New Roman"/>
                <w:color w:val="000000" w:themeColor="text1"/>
                <w:sz w:val="28"/>
                <w:szCs w:val="28"/>
                <w:highlight w:val="none"/>
                <w14:textFill>
                  <w14:solidFill>
                    <w14:schemeClr w14:val="tx1"/>
                  </w14:solidFill>
                </w14:textFill>
              </w:rPr>
              <w:t>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黑体" w:cs="Times New Roman"/>
                <w:b/>
                <w:sz w:val="32"/>
                <w:szCs w:val="32"/>
                <w:highlight w:val="none"/>
                <w:vertAlign w:val="baseline"/>
                <w:lang w:val="en-US" w:eastAsia="zh-CN"/>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师资项目博士后</w:t>
            </w:r>
          </w:p>
        </w:tc>
        <w:tc>
          <w:tcPr>
            <w:tcW w:w="6776"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1.提供安家费</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35万</w:t>
            </w:r>
            <w:r>
              <w:rPr>
                <w:rFonts w:hint="default" w:ascii="Times New Roman" w:hAnsi="Times New Roman" w:eastAsia="仿宋" w:cs="Times New Roman"/>
                <w:color w:val="000000" w:themeColor="text1"/>
                <w:sz w:val="24"/>
                <w:szCs w:val="24"/>
                <w:highlight w:val="none"/>
                <w14:textFill>
                  <w14:solidFill>
                    <w14:schemeClr w14:val="tx1"/>
                  </w14:solidFill>
                </w14:textFill>
              </w:rPr>
              <w:t>、科研启动费</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25万</w:t>
            </w:r>
            <w:r>
              <w:rPr>
                <w:rFonts w:hint="default" w:ascii="Times New Roman" w:hAnsi="Times New Roman" w:eastAsia="仿宋" w:cs="Times New Roman"/>
                <w:color w:val="000000" w:themeColor="text1"/>
                <w:sz w:val="24"/>
                <w:szCs w:val="24"/>
                <w:highlight w:val="none"/>
                <w14:textFill>
                  <w14:solidFill>
                    <w14:schemeClr w14:val="tx1"/>
                  </w14:solidFill>
                </w14:textFill>
              </w:rPr>
              <w:t>等人才引进待遇；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.博士后在站期间年薪不低于</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28万</w:t>
            </w:r>
            <w:r>
              <w:rPr>
                <w:rFonts w:hint="default" w:ascii="Times New Roman" w:hAnsi="Times New Roman" w:eastAsia="仿宋" w:cs="Times New Roman"/>
                <w:color w:val="000000" w:themeColor="text1"/>
                <w:sz w:val="24"/>
                <w:szCs w:val="24"/>
                <w:highlight w:val="none"/>
                <w14:textFill>
                  <w14:solidFill>
                    <w14:schemeClr w14:val="tx1"/>
                  </w14:solidFill>
                </w14:textFill>
              </w:rPr>
              <w:t>元（含自治区资助补贴，不含五险一金单位部分），其中与广西元宇宙应用场景创新工程研究中心</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联合招聘</w:t>
            </w:r>
            <w:r>
              <w:rPr>
                <w:rFonts w:hint="default" w:ascii="Times New Roman" w:hAnsi="Times New Roman" w:eastAsia="仿宋" w:cs="Times New Roman"/>
                <w:color w:val="000000" w:themeColor="text1"/>
                <w:sz w:val="24"/>
                <w:szCs w:val="24"/>
                <w:highlight w:val="none"/>
                <w14:textFill>
                  <w14:solidFill>
                    <w14:schemeClr w14:val="tx1"/>
                  </w14:solidFill>
                </w14:textFill>
              </w:rPr>
              <w:t>的博士后还可享受广西元宇宙应用场景创新工程研究中心提供的</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15万</w:t>
            </w:r>
            <w:r>
              <w:rPr>
                <w:rFonts w:hint="default" w:ascii="Times New Roman" w:hAnsi="Times New Roman" w:eastAsia="仿宋" w:cs="Times New Roman"/>
                <w:color w:val="000000" w:themeColor="text1"/>
                <w:sz w:val="24"/>
                <w:szCs w:val="24"/>
                <w:highlight w:val="none"/>
                <w14:textFill>
                  <w14:solidFill>
                    <w14:schemeClr w14:val="tx1"/>
                  </w14:solidFill>
                </w14:textFill>
              </w:rPr>
              <w:t>/年的薪酬；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14:textFill>
                  <w14:solidFill>
                    <w14:schemeClr w14:val="tx1"/>
                  </w14:solidFill>
                </w14:textFill>
              </w:rPr>
              <w:t>.博士后出站后按学校同级同类人员享受薪酬福利待遇</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博士后在站期间可办理其本人及子女的落户手续，工作期满出站后应及时办理转出手续。其子女上学或入园按学校</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同类人员</w:t>
            </w:r>
            <w:r>
              <w:rPr>
                <w:rFonts w:hint="default" w:ascii="Times New Roman" w:hAnsi="Times New Roman" w:eastAsia="仿宋" w:cs="Times New Roman"/>
                <w:color w:val="000000" w:themeColor="text1"/>
                <w:sz w:val="24"/>
                <w:szCs w:val="24"/>
                <w:highlight w:val="none"/>
                <w14:textFill>
                  <w14:solidFill>
                    <w14:schemeClr w14:val="tx1"/>
                  </w14:solidFill>
                </w14:textFill>
              </w:rPr>
              <w:t>对待</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highlight w:val="none"/>
                <w14:textFill>
                  <w14:solidFill>
                    <w14:schemeClr w14:val="tx1"/>
                  </w14:solidFill>
                </w14:textFill>
              </w:rPr>
              <w:t>.博士后在站期间可参加我校职称评定工作，按学校同类人员条件执行，出站符合相关文件要求</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可以直接认定副高级职称</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ascii="Times New Roman" w:hAnsi="Times New Roman" w:eastAsia="仿宋" w:cs="Times New Roman"/>
                <w:b/>
                <w:sz w:val="24"/>
                <w:szCs w:val="24"/>
                <w:highlight w:val="none"/>
                <w:vertAlign w:val="baseline"/>
                <w:lang w:val="en-US" w:eastAsia="zh-CN"/>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highlight w:val="none"/>
                <w14:textFill>
                  <w14:solidFill>
                    <w14:schemeClr w14:val="tx1"/>
                  </w14:solidFill>
                </w14:textFill>
              </w:rPr>
              <w:t>.博士后在站期间获得全国博士后创新创业大赛金奖、银奖、铜奖的，若已取得副高职称，可</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破格申报正高职称</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Times New Roman" w:hAnsi="Times New Roman" w:eastAsia="黑体" w:cs="Times New Roman"/>
                <w:b/>
                <w:sz w:val="32"/>
                <w:szCs w:val="32"/>
                <w:highlight w:val="none"/>
                <w:vertAlign w:val="baseline"/>
                <w:lang w:val="en-US" w:eastAsia="zh-CN"/>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项目博士后</w:t>
            </w:r>
          </w:p>
        </w:tc>
        <w:tc>
          <w:tcPr>
            <w:tcW w:w="6776"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1.在站期间年薪不低于</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28万</w:t>
            </w:r>
            <w:r>
              <w:rPr>
                <w:rFonts w:hint="default" w:ascii="Times New Roman" w:hAnsi="Times New Roman" w:eastAsia="仿宋" w:cs="Times New Roman"/>
                <w:color w:val="000000" w:themeColor="text1"/>
                <w:sz w:val="24"/>
                <w:szCs w:val="24"/>
                <w:highlight w:val="none"/>
                <w14:textFill>
                  <w14:solidFill>
                    <w14:schemeClr w14:val="tx1"/>
                  </w14:solidFill>
                </w14:textFill>
              </w:rPr>
              <w:t>元（含自治区资助补贴，不含五险一金单位部分），其中与广西元宇宙应用场景创新工程研究中心联合招聘的博士后还可享受广西元宇宙应用场景创新工程研究中心提供的</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15万</w:t>
            </w:r>
            <w:r>
              <w:rPr>
                <w:rFonts w:hint="default" w:ascii="Times New Roman" w:hAnsi="Times New Roman" w:eastAsia="仿宋" w:cs="Times New Roman"/>
                <w:color w:val="000000" w:themeColor="text1"/>
                <w:sz w:val="24"/>
                <w:szCs w:val="24"/>
                <w:highlight w:val="none"/>
                <w14:textFill>
                  <w14:solidFill>
                    <w14:schemeClr w14:val="tx1"/>
                  </w14:solidFill>
                </w14:textFill>
              </w:rPr>
              <w:t>/年的薪酬；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.提供科研启动经费</w:t>
            </w:r>
            <w:r>
              <w:rPr>
                <w:rStyle w:val="8"/>
                <w:rFonts w:hint="default" w:ascii="Times New Roman" w:hAnsi="Times New Roman" w:eastAsia="仿宋" w:cs="Times New Roman"/>
                <w:color w:val="000000" w:themeColor="text1"/>
                <w:sz w:val="24"/>
                <w:szCs w:val="24"/>
                <w:highlight w:val="none"/>
                <w14:textFill>
                  <w14:solidFill>
                    <w14:schemeClr w14:val="tx1"/>
                  </w14:solidFill>
                </w14:textFill>
              </w:rPr>
              <w:t>5万</w:t>
            </w:r>
            <w:r>
              <w:rPr>
                <w:rFonts w:hint="default" w:ascii="Times New Roman" w:hAnsi="Times New Roman" w:eastAsia="仿宋" w:cs="Times New Roman"/>
                <w:color w:val="000000" w:themeColor="text1"/>
                <w:sz w:val="24"/>
                <w:szCs w:val="24"/>
                <w:highlight w:val="none"/>
                <w14:textFill>
                  <w14:solidFill>
                    <w14:schemeClr w14:val="tx1"/>
                  </w14:solidFill>
                </w14:textFill>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ascii="Times New Roman" w:hAnsi="Times New Roman" w:eastAsia="黑体" w:cs="Times New Roman"/>
                <w:b/>
                <w:sz w:val="32"/>
                <w:szCs w:val="32"/>
                <w:highlight w:val="none"/>
                <w:vertAlign w:val="baseline"/>
                <w:lang w:val="en-US" w:eastAsia="zh-CN"/>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14:textFill>
                  <w14:solidFill>
                    <w14:schemeClr w14:val="tx1"/>
                  </w14:solidFill>
                </w14:textFill>
              </w:rPr>
              <w:t>.出站考核合格及以上的人员，可申请留校工作，并按学校当年人才引进政策规定待遇兑现安家费等人才待遇。</w:t>
            </w:r>
          </w:p>
        </w:tc>
      </w:tr>
    </w:tbl>
    <w:p>
      <w:pPr>
        <w:numPr>
          <w:ilvl w:val="0"/>
          <w:numId w:val="0"/>
        </w:numP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其他支持政策：</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按学校同级同类人员购买五险一金；</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提供校内周转房租住；</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出站考核优秀奖励3万元；</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如入选国家、自治区博士后人才计划，获得中国博士后科学基金资助，在上述待遇基础上叠加资助。</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（1）国家资助博士后研究人员计划A档56万及科研启动费8万、B档资助36万、C档资助24万；</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（2）国家博士后科研业绩评估考核资助A档10万元，B档6万元，C档4万元；</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（3）获得中国博士后科学基金资助8万-18万；</w:t>
      </w:r>
    </w:p>
    <w:p>
      <w:pPr>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（4）自治区博士后创新人才计划资助30万。</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bookmarkStart w:id="0" w:name="_GoBack"/>
      <w:bookmarkEnd w:id="0"/>
    </w:p>
    <w:p>
      <w:pPr>
        <w:ind w:firstLine="643"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申请人请将应聘材料（包括个人简历、学历学位证书及其他能证明本人科研能力和学术水平的佐证材料等）打包发送至指定邮箱。投递简历邮件主题：姓名+博士后合作研究课题</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简历接收邮箱：rckf@guet.edu.cn。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62CF9-F203-41E1-A889-B6DC7261A8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31BC0983-8305-40DC-AD28-75E5CFB42121}"/>
  </w:font>
  <w:font w:name="仿宋_GB2312">
    <w:panose1 w:val="02010609030101010101"/>
    <w:charset w:val="86"/>
    <w:family w:val="auto"/>
    <w:pitch w:val="default"/>
    <w:sig w:usb0="00000001" w:usb1="080E0000" w:usb2="00000000" w:usb3="00000000" w:csb0="00040000" w:csb1="00000000"/>
    <w:embedRegular r:id="rId3" w:fontKey="{CFDCDE06-ACC7-4752-B853-AE65C311F344}"/>
  </w:font>
  <w:font w:name="仿宋">
    <w:panose1 w:val="02010609060101010101"/>
    <w:charset w:val="86"/>
    <w:family w:val="auto"/>
    <w:pitch w:val="default"/>
    <w:sig w:usb0="800002BF" w:usb1="38CF7CFA" w:usb2="00000016" w:usb3="00000000" w:csb0="00040001" w:csb1="00000000"/>
    <w:embedRegular r:id="rId4" w:fontKey="{1E066571-D43E-4D1E-B504-7D3B409632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NWY1YzdhMGMzNzUxZjVkYTU3MDMyMzA5MDNlZDkifQ=="/>
  </w:docVars>
  <w:rsids>
    <w:rsidRoot w:val="003C676C"/>
    <w:rsid w:val="003729A0"/>
    <w:rsid w:val="003C676C"/>
    <w:rsid w:val="004169D8"/>
    <w:rsid w:val="00487CD4"/>
    <w:rsid w:val="004B7B99"/>
    <w:rsid w:val="004C779A"/>
    <w:rsid w:val="00586524"/>
    <w:rsid w:val="006700B2"/>
    <w:rsid w:val="00701308"/>
    <w:rsid w:val="00817451"/>
    <w:rsid w:val="008D52BE"/>
    <w:rsid w:val="009C43A5"/>
    <w:rsid w:val="00C865B1"/>
    <w:rsid w:val="00D17BAC"/>
    <w:rsid w:val="00DA6B16"/>
    <w:rsid w:val="00DC2B1B"/>
    <w:rsid w:val="00E462E6"/>
    <w:rsid w:val="00E518A5"/>
    <w:rsid w:val="01350C32"/>
    <w:rsid w:val="018F4C90"/>
    <w:rsid w:val="02F93E17"/>
    <w:rsid w:val="046F72F3"/>
    <w:rsid w:val="05D67057"/>
    <w:rsid w:val="0A342E51"/>
    <w:rsid w:val="0AB26B39"/>
    <w:rsid w:val="1096234E"/>
    <w:rsid w:val="1160608F"/>
    <w:rsid w:val="11A96B39"/>
    <w:rsid w:val="1458733C"/>
    <w:rsid w:val="154B64A2"/>
    <w:rsid w:val="16005D04"/>
    <w:rsid w:val="169013B7"/>
    <w:rsid w:val="16B613A8"/>
    <w:rsid w:val="1941466A"/>
    <w:rsid w:val="1BE22134"/>
    <w:rsid w:val="1D5801D4"/>
    <w:rsid w:val="1FB769CA"/>
    <w:rsid w:val="20DE6C42"/>
    <w:rsid w:val="228F7DCC"/>
    <w:rsid w:val="28090ABE"/>
    <w:rsid w:val="28A83AC0"/>
    <w:rsid w:val="28EF7C3E"/>
    <w:rsid w:val="2CAD477E"/>
    <w:rsid w:val="2DB04BEA"/>
    <w:rsid w:val="31F7BC9D"/>
    <w:rsid w:val="34763909"/>
    <w:rsid w:val="35CE6E2D"/>
    <w:rsid w:val="37695060"/>
    <w:rsid w:val="37A4253C"/>
    <w:rsid w:val="37C75701"/>
    <w:rsid w:val="38A071A7"/>
    <w:rsid w:val="3ACA5DC5"/>
    <w:rsid w:val="3B0065E9"/>
    <w:rsid w:val="3D356E4E"/>
    <w:rsid w:val="3F581721"/>
    <w:rsid w:val="413C3F56"/>
    <w:rsid w:val="415F799D"/>
    <w:rsid w:val="467018D3"/>
    <w:rsid w:val="48467BC9"/>
    <w:rsid w:val="4AB56AE2"/>
    <w:rsid w:val="4AB97C54"/>
    <w:rsid w:val="4C2F2739"/>
    <w:rsid w:val="4C405F45"/>
    <w:rsid w:val="4CC82987"/>
    <w:rsid w:val="4CD17559"/>
    <w:rsid w:val="4DBB0600"/>
    <w:rsid w:val="50FD4E06"/>
    <w:rsid w:val="51B5657D"/>
    <w:rsid w:val="561C4C8E"/>
    <w:rsid w:val="565C65E7"/>
    <w:rsid w:val="58DD0771"/>
    <w:rsid w:val="58FF16D8"/>
    <w:rsid w:val="5A310D6F"/>
    <w:rsid w:val="5CF96B6F"/>
    <w:rsid w:val="5D245401"/>
    <w:rsid w:val="612E684E"/>
    <w:rsid w:val="623F702F"/>
    <w:rsid w:val="62465E1A"/>
    <w:rsid w:val="626114DC"/>
    <w:rsid w:val="62B733F3"/>
    <w:rsid w:val="63E678B4"/>
    <w:rsid w:val="64FF1DD7"/>
    <w:rsid w:val="6BD80B40"/>
    <w:rsid w:val="6C2D782F"/>
    <w:rsid w:val="6DA23B2A"/>
    <w:rsid w:val="71E116BB"/>
    <w:rsid w:val="71E91772"/>
    <w:rsid w:val="729A7419"/>
    <w:rsid w:val="72DF4888"/>
    <w:rsid w:val="73096F13"/>
    <w:rsid w:val="73157C0B"/>
    <w:rsid w:val="73534181"/>
    <w:rsid w:val="736E51D0"/>
    <w:rsid w:val="76AC2297"/>
    <w:rsid w:val="7AAD5111"/>
    <w:rsid w:val="7CC22819"/>
    <w:rsid w:val="7F4F89C7"/>
    <w:rsid w:val="8FE358B0"/>
    <w:rsid w:val="EDFF5BCC"/>
    <w:rsid w:val="EFBBCE67"/>
    <w:rsid w:val="EFD73ED4"/>
    <w:rsid w:val="F2F560C8"/>
    <w:rsid w:val="FF6BF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563C1" w:themeColor="hyperlink"/>
      <w:u w:val="single"/>
      <w14:textFill>
        <w14:solidFill>
          <w14:schemeClr w14:val="hlink"/>
        </w14:solidFill>
      </w14:textFill>
    </w:rPr>
  </w:style>
  <w:style w:type="paragraph" w:customStyle="1" w:styleId="10">
    <w:name w:val="List Paragraph"/>
    <w:basedOn w:val="1"/>
    <w:autoRedefine/>
    <w:qFormat/>
    <w:uiPriority w:val="34"/>
    <w:pPr>
      <w:ind w:firstLine="420" w:firstLineChars="200"/>
    </w:pPr>
  </w:style>
  <w:style w:type="character" w:customStyle="1" w:styleId="11">
    <w:name w:val="页眉 Char"/>
    <w:basedOn w:val="7"/>
    <w:link w:val="3"/>
    <w:autoRedefine/>
    <w:qFormat/>
    <w:uiPriority w:val="99"/>
    <w:rPr>
      <w:sz w:val="18"/>
      <w:szCs w:val="18"/>
    </w:rPr>
  </w:style>
  <w:style w:type="character" w:customStyle="1" w:styleId="12">
    <w:name w:val="页脚 Char"/>
    <w:basedOn w:val="7"/>
    <w:link w:val="2"/>
    <w:autoRedefine/>
    <w:qFormat/>
    <w:uiPriority w:val="99"/>
    <w:rPr>
      <w:sz w:val="18"/>
      <w:szCs w:val="18"/>
    </w:rPr>
  </w:style>
  <w:style w:type="paragraph" w:customStyle="1" w:styleId="13">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337</Words>
  <Characters>1926</Characters>
  <Lines>16</Lines>
  <Paragraphs>4</Paragraphs>
  <TotalTime>0</TotalTime>
  <ScaleCrop>false</ScaleCrop>
  <LinksUpToDate>false</LinksUpToDate>
  <CharactersWithSpaces>2259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2022-10-27T22:36:00Z</dcterms:created>
  <dc:creator>lenovo</dc:creator>
  <cp:lastModifiedBy>寒山士</cp:lastModifiedBy>
  <cp:lastPrinted>2024-04-30T00:42:00Z</cp:lastPrinted>
  <dcterms:modified xsi:type="dcterms:W3CDTF">2024-04-30T06:07:50Z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F59BCC0DEC2E48C48DD6BE37C158C6FA_13</vt:lpwstr>
  </property>
</Properties>
</file>