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河南科技职业大学202</w:t>
      </w:r>
      <w:r>
        <w:rPr>
          <w:rFonts w:hint="eastAsia" w:ascii="方正小标宋_GBK" w:hAnsi="方正小标宋_GBK" w:eastAsia="方正小标宋_GBK" w:cs="方正小标宋_GBK"/>
          <w:sz w:val="44"/>
          <w:szCs w:val="44"/>
          <w:lang w:val="en-US" w:eastAsia="zh-CN"/>
        </w:rPr>
        <w:t>1</w:t>
      </w:r>
      <w:r>
        <w:rPr>
          <w:rFonts w:hint="eastAsia" w:ascii="方正小标宋_GBK" w:hAnsi="方正小标宋_GBK" w:eastAsia="方正小标宋_GBK" w:cs="方正小标宋_GBK"/>
          <w:sz w:val="44"/>
          <w:szCs w:val="44"/>
        </w:rPr>
        <w:t>年引进高层次人才公告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根据河南科技职业大学人才需求实际，现公开引进高层次人才</w:t>
      </w:r>
      <w:r>
        <w:rPr>
          <w:rFonts w:hint="eastAsia" w:ascii="仿宋_GB2312" w:hAnsi="仿宋_GB2312" w:eastAsia="仿宋_GB2312" w:cs="仿宋_GB2312"/>
          <w:sz w:val="32"/>
          <w:szCs w:val="32"/>
          <w:lang w:val="en-US" w:eastAsia="zh-CN"/>
        </w:rPr>
        <w:t>78</w:t>
      </w:r>
      <w:r>
        <w:rPr>
          <w:rFonts w:hint="eastAsia" w:ascii="仿宋_GB2312" w:hAnsi="仿宋_GB2312" w:eastAsia="仿宋_GB2312" w:cs="仿宋_GB2312"/>
          <w:sz w:val="32"/>
          <w:szCs w:val="32"/>
        </w:rPr>
        <w:t>名，特公告如下。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一、引进对象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我校紧缺专业的全日制硕士研究生</w:t>
      </w:r>
      <w:r>
        <w:rPr>
          <w:rFonts w:hint="eastAsia" w:ascii="仿宋_GB2312" w:hAnsi="仿宋_GB2312" w:eastAsia="仿宋_GB2312" w:cs="仿宋_GB2312"/>
          <w:sz w:val="32"/>
          <w:szCs w:val="32"/>
          <w:lang w:val="en-US" w:eastAsia="zh-CN"/>
        </w:rPr>
        <w:t>及以上学历人员</w:t>
      </w:r>
      <w:r>
        <w:rPr>
          <w:rFonts w:hint="eastAsia" w:ascii="仿宋_GB2312" w:hAnsi="仿宋_GB2312" w:eastAsia="仿宋_GB2312" w:cs="仿宋_GB2312"/>
          <w:sz w:val="32"/>
          <w:szCs w:val="32"/>
        </w:rPr>
        <w:t>和副高级职称</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以上人员。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具体</w:t>
      </w:r>
      <w:r>
        <w:rPr>
          <w:rFonts w:hint="eastAsia" w:ascii="仿宋_GB2312" w:hAnsi="仿宋_GB2312" w:eastAsia="仿宋_GB2312" w:cs="仿宋_GB2312"/>
          <w:sz w:val="32"/>
          <w:szCs w:val="32"/>
        </w:rPr>
        <w:t>岗位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数量</w:t>
      </w:r>
      <w:r>
        <w:rPr>
          <w:rFonts w:hint="eastAsia" w:ascii="仿宋_GB2312" w:hAnsi="仿宋_GB2312" w:eastAsia="仿宋_GB2312" w:cs="仿宋_GB2312"/>
          <w:sz w:val="32"/>
          <w:szCs w:val="32"/>
        </w:rPr>
        <w:t>、专业、学历等资格要求详见</w:t>
      </w:r>
      <w:r>
        <w:rPr>
          <w:rFonts w:hint="eastAsia" w:ascii="仿宋_GB2312" w:hAnsi="仿宋_GB2312" w:eastAsia="仿宋_GB2312" w:cs="仿宋_GB2312"/>
          <w:sz w:val="32"/>
          <w:szCs w:val="32"/>
          <w:lang w:val="en-US" w:eastAsia="zh-CN"/>
        </w:rPr>
        <w:t>附件1：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河南科技职业大学202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引进</w:t>
      </w:r>
      <w:r>
        <w:rPr>
          <w:rFonts w:hint="eastAsia" w:ascii="仿宋_GB2312" w:hAnsi="仿宋_GB2312" w:eastAsia="仿宋_GB2312" w:cs="仿宋_GB2312"/>
          <w:sz w:val="32"/>
          <w:szCs w:val="32"/>
        </w:rPr>
        <w:t>高层次人才需求表</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报名基本条件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（一）具有中华人民共和国国籍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遵纪守法，身心健康，品行端正，廉洁奉公，专业技能较强；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en-US" w:eastAsia="zh-CN"/>
        </w:rPr>
        <w:t>全日制</w:t>
      </w:r>
      <w:r>
        <w:rPr>
          <w:rFonts w:hint="eastAsia" w:ascii="仿宋_GB2312" w:hAnsi="仿宋_GB2312" w:eastAsia="仿宋_GB2312" w:cs="仿宋_GB2312"/>
          <w:sz w:val="32"/>
          <w:szCs w:val="32"/>
        </w:rPr>
        <w:t>硕士研究生</w:t>
      </w:r>
      <w:r>
        <w:rPr>
          <w:rFonts w:hint="eastAsia" w:ascii="仿宋_GB2312" w:hAnsi="仿宋_GB2312" w:eastAsia="仿宋_GB2312" w:cs="仿宋_GB2312"/>
          <w:sz w:val="32"/>
          <w:szCs w:val="32"/>
          <w:lang w:val="en-US" w:eastAsia="zh-CN"/>
        </w:rPr>
        <w:t>以上</w:t>
      </w:r>
      <w:r>
        <w:rPr>
          <w:rFonts w:hint="eastAsia" w:ascii="仿宋_GB2312" w:hAnsi="仿宋_GB2312" w:eastAsia="仿宋_GB2312" w:cs="仿宋_GB2312"/>
          <w:sz w:val="32"/>
          <w:szCs w:val="32"/>
        </w:rPr>
        <w:t>或具有副</w:t>
      </w:r>
      <w:r>
        <w:rPr>
          <w:rFonts w:hint="eastAsia" w:ascii="仿宋_GB2312" w:hAnsi="仿宋_GB2312" w:eastAsia="仿宋_GB2312" w:cs="仿宋_GB2312"/>
          <w:sz w:val="32"/>
          <w:szCs w:val="32"/>
          <w:lang w:val="en-US" w:eastAsia="zh-CN"/>
        </w:rPr>
        <w:t>高及</w:t>
      </w:r>
      <w:r>
        <w:rPr>
          <w:rFonts w:hint="eastAsia" w:ascii="仿宋_GB2312" w:hAnsi="仿宋_GB2312" w:eastAsia="仿宋_GB2312" w:cs="仿宋_GB2312"/>
          <w:sz w:val="32"/>
          <w:szCs w:val="32"/>
        </w:rPr>
        <w:t>以上职称的高层次人才；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（三）年龄要求：硕士研究生的年龄为35周岁以下；具有副高职称人员年龄为45周岁以下；</w:t>
      </w:r>
      <w:r>
        <w:rPr>
          <w:rFonts w:hint="eastAsia" w:ascii="仿宋_GB2312" w:hAnsi="仿宋_GB2312" w:eastAsia="仿宋_GB2312" w:cs="仿宋_GB2312"/>
          <w:sz w:val="32"/>
          <w:szCs w:val="32"/>
          <w:lang w:val="en-US" w:eastAsia="zh-CN"/>
        </w:rPr>
        <w:t>博士研究生和正高级职称人员年龄可适当放宽；</w:t>
      </w:r>
      <w:r>
        <w:rPr>
          <w:rFonts w:hint="eastAsia" w:ascii="仿宋_GB2312" w:hAnsi="仿宋_GB2312" w:eastAsia="仿宋_GB2312" w:cs="仿宋_GB2312"/>
          <w:sz w:val="32"/>
          <w:szCs w:val="32"/>
          <w:lang w:eastAsia="zh-CN"/>
        </w:rPr>
        <w:t>（年龄计算截止时间为2021年6月1日）；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2021年高校应届毕业生必须在2021年7月31日前取得岗位要求的毕业证、学位证；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（五）符合拟引进岗位要求的学历、专业或技能条件；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（六）适应岗位要求的身体条件；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（七）符合拟引进岗位要求的其他条件；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（八）有下列情形之一的人员不得报名应聘：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周口市及所属县市区机关事业单位在编在岗工作人员；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刑事处罚期限未满或者涉嫌违法犯罪正在接受调查的人员；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尚未解除党纪、政纪处分或正在接受纪律审查的人员；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曾在公务员招录、事业单位公开招聘考试中被认定有舞弊等严重违反招聘纪律行为的人员；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国家和省、市另有规定不得应聘到事业单位的人员。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三、人才引进工作程序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rPr>
        <w:t>（一）报名</w:t>
      </w:r>
      <w:r>
        <w:rPr>
          <w:rFonts w:hint="eastAsia" w:ascii="方正楷体_GBK" w:hAnsi="方正楷体_GBK" w:eastAsia="方正楷体_GBK" w:cs="方正楷体_GBK"/>
          <w:b w:val="0"/>
          <w:bCs w:val="0"/>
          <w:sz w:val="32"/>
          <w:szCs w:val="32"/>
          <w:lang w:val="en-US" w:eastAsia="zh-CN"/>
        </w:rPr>
        <w:t>和资格审查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1.报名时间及方式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本次人才</w:t>
      </w:r>
      <w:r>
        <w:rPr>
          <w:rFonts w:hint="eastAsia" w:ascii="仿宋_GB2312" w:hAnsi="仿宋_GB2312" w:eastAsia="仿宋_GB2312" w:cs="仿宋_GB2312"/>
          <w:sz w:val="32"/>
          <w:szCs w:val="32"/>
          <w:lang w:val="en-US" w:eastAsia="zh-CN"/>
        </w:rPr>
        <w:t>引进</w:t>
      </w:r>
      <w:r>
        <w:rPr>
          <w:rFonts w:hint="eastAsia" w:ascii="仿宋_GB2312" w:hAnsi="仿宋_GB2312" w:eastAsia="仿宋_GB2312" w:cs="仿宋_GB2312"/>
          <w:sz w:val="32"/>
          <w:szCs w:val="32"/>
        </w:rPr>
        <w:t>采用网上报名方式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请登录</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河南科技职业大学高层次人才引进</w:t>
      </w:r>
      <w:r>
        <w:rPr>
          <w:rFonts w:hint="eastAsia" w:ascii="仿宋_GB2312" w:hAnsi="仿宋_GB2312" w:eastAsia="仿宋_GB2312" w:cs="仿宋_GB2312"/>
          <w:sz w:val="32"/>
          <w:szCs w:val="32"/>
        </w:rPr>
        <w:t>网上报名系统”（</w:t>
      </w:r>
      <w:r>
        <w:rPr>
          <w:rFonts w:hint="eastAsia" w:ascii="仿宋_GB2312" w:hAnsi="仿宋_GB2312" w:eastAsia="仿宋_GB2312" w:cs="仿宋_GB2312"/>
          <w:color w:val="FF0000"/>
          <w:sz w:val="32"/>
          <w:szCs w:val="32"/>
        </w:rPr>
        <w:t>网址</w:t>
      </w:r>
      <w:r>
        <w:rPr>
          <w:rFonts w:hint="eastAsia" w:ascii="仿宋_GB2312" w:hAnsi="仿宋_GB2312" w:eastAsia="仿宋_GB2312" w:cs="仿宋_GB2312"/>
          <w:color w:val="FF0000"/>
          <w:sz w:val="32"/>
          <w:szCs w:val="32"/>
          <w:lang w:eastAsia="zh-CN"/>
        </w:rPr>
        <w:t>：http://zp.zkkjxy.net:8090/rsfw/sys/zpglxt/extranet/index.do#/home</w:t>
      </w:r>
      <w:r>
        <w:rPr>
          <w:rFonts w:hint="eastAsia" w:ascii="仿宋_GB2312" w:hAnsi="仿宋_GB2312" w:eastAsia="仿宋_GB2312" w:cs="仿宋_GB2312"/>
          <w:sz w:val="32"/>
          <w:szCs w:val="32"/>
        </w:rPr>
        <w:t>）进行报名，</w:t>
      </w:r>
      <w:r>
        <w:rPr>
          <w:rStyle w:val="11"/>
          <w:rFonts w:hint="eastAsia" w:ascii="仿宋_GB2312" w:hAnsi="仿宋_GB2312" w:eastAsia="仿宋_GB2312" w:cs="仿宋_GB2312"/>
          <w:color w:val="auto"/>
          <w:sz w:val="32"/>
          <w:szCs w:val="32"/>
          <w:u w:val="none"/>
          <w:shd w:val="clear" w:color="auto" w:fill="FFFFFF"/>
        </w:rPr>
        <w:t>报名时间：</w:t>
      </w:r>
      <w:r>
        <w:rPr>
          <w:rStyle w:val="11"/>
          <w:rFonts w:hint="eastAsia" w:ascii="仿宋_GB2312" w:hAnsi="仿宋_GB2312" w:eastAsia="仿宋_GB2312" w:cs="仿宋_GB2312"/>
          <w:color w:val="FF0000"/>
          <w:sz w:val="32"/>
          <w:szCs w:val="32"/>
          <w:u w:val="none"/>
          <w:shd w:val="clear" w:color="auto" w:fill="FFFFFF"/>
          <w:lang w:val="en-US" w:eastAsia="zh-CN"/>
        </w:rPr>
        <w:t>2021年6月26日8：00-2021年7月2日18:00。</w:t>
      </w:r>
      <w:r>
        <w:rPr>
          <w:rStyle w:val="11"/>
          <w:rFonts w:hint="eastAsia" w:ascii="仿宋_GB2312" w:hAnsi="仿宋_GB2312" w:eastAsia="仿宋_GB2312" w:cs="仿宋_GB2312"/>
          <w:color w:val="auto"/>
          <w:sz w:val="32"/>
          <w:szCs w:val="32"/>
          <w:u w:val="none"/>
          <w:shd w:val="clear" w:color="auto" w:fill="FFFFFF"/>
        </w:rPr>
        <w:t>每人限报我校1个岗位，请应聘者慎重选报。报名成功后务必牢记登陆密码，应聘者可凭此密码登陆招聘系统查询个人相关信息。凡不在规定时间内报名的，将不予受理。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"mailto:（2）网上报名时，需将本人有效身份证、毕业证、学位证、资格证、学信网学历在线认证报告等材料原件扫描件通过电子邮箱发送至zkyrczp@126.com，邮件命名为\“申请岗位+姓名\”。"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网上报名</w:t>
      </w:r>
      <w:r>
        <w:rPr>
          <w:rFonts w:hint="eastAsia" w:ascii="仿宋_GB2312" w:hAnsi="仿宋_GB2312" w:eastAsia="仿宋_GB2312" w:cs="仿宋_GB2312"/>
          <w:sz w:val="32"/>
          <w:szCs w:val="32"/>
          <w:lang w:val="en-US" w:eastAsia="zh-CN"/>
        </w:rPr>
        <w:t>后</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同时</w:t>
      </w:r>
      <w:r>
        <w:rPr>
          <w:rFonts w:hint="eastAsia" w:ascii="仿宋_GB2312" w:hAnsi="仿宋_GB2312" w:eastAsia="仿宋_GB2312" w:cs="仿宋_GB2312"/>
          <w:sz w:val="32"/>
          <w:szCs w:val="32"/>
        </w:rPr>
        <w:t>需将</w:t>
      </w:r>
      <w:r>
        <w:rPr>
          <w:rFonts w:hint="eastAsia" w:ascii="仿宋_GB2312" w:hAnsi="仿宋_GB2312" w:eastAsia="仿宋_GB2312" w:cs="仿宋_GB2312"/>
          <w:color w:val="auto"/>
          <w:sz w:val="32"/>
          <w:szCs w:val="32"/>
        </w:rPr>
        <w:t>河南科技职业大学202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年高层次人才引进报名表（见附件2）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rPr>
        <w:t>本人有效身份证、毕业证、学位证、资格证、学历</w:t>
      </w:r>
      <w:r>
        <w:rPr>
          <w:rFonts w:hint="eastAsia" w:ascii="仿宋_GB2312" w:hAnsi="仿宋_GB2312" w:eastAsia="仿宋_GB2312" w:cs="仿宋_GB2312"/>
          <w:sz w:val="32"/>
          <w:szCs w:val="32"/>
          <w:lang w:val="en-US" w:eastAsia="zh-CN"/>
        </w:rPr>
        <w:t>证书电子注册备案表等</w:t>
      </w:r>
      <w:r>
        <w:rPr>
          <w:rFonts w:hint="eastAsia" w:ascii="仿宋_GB2312" w:hAnsi="仿宋_GB2312" w:eastAsia="仿宋_GB2312" w:cs="仿宋_GB2312"/>
          <w:sz w:val="32"/>
          <w:szCs w:val="32"/>
        </w:rPr>
        <w:t>材料原件扫描件通过电子邮箱发送至zkyrczp@126.com，</w:t>
      </w:r>
      <w:r>
        <w:rPr>
          <w:rFonts w:hint="eastAsia" w:ascii="仿宋_GB2312" w:hAnsi="仿宋_GB2312" w:eastAsia="仿宋_GB2312" w:cs="仿宋_GB2312"/>
          <w:sz w:val="32"/>
          <w:szCs w:val="32"/>
          <w:lang w:val="en-US" w:eastAsia="zh-CN"/>
        </w:rPr>
        <w:t>邮件命名为“申请岗位+姓名”。</w:t>
      </w:r>
      <w:r>
        <w:rPr>
          <w:rFonts w:hint="eastAsia" w:ascii="仿宋_GB2312" w:hAnsi="仿宋_GB2312" w:eastAsia="仿宋_GB2312" w:cs="仿宋_GB2312"/>
          <w:sz w:val="32"/>
          <w:szCs w:val="32"/>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2.资格审查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根据应聘人员提交的相关电子材料进行报名资格审查，报名结束后应聘人员可在报名系统上查看是否通过报名资格</w:t>
      </w:r>
      <w:r>
        <w:rPr>
          <w:rFonts w:hint="eastAsia" w:ascii="仿宋_GB2312" w:hAnsi="仿宋_GB2312" w:eastAsia="仿宋_GB2312" w:cs="仿宋_GB2312"/>
          <w:color w:val="auto"/>
          <w:sz w:val="32"/>
          <w:szCs w:val="32"/>
          <w:lang w:val="en-US" w:eastAsia="zh-CN"/>
        </w:rPr>
        <w:t>审查，通过资格审查人员进入综合测评环节，参加综合测评人员名单将在河南科技职业大学官网上进行公布。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（二）综合测评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加综合测评人员持本人有效身份证、所有学历证书、学位证书及相关学历证书电子注册备案表、专业技术职务任职资格证（上述证件须审验原件，提交复印件1份，A4纸张）等材料按综合测评通知时间到校后接受现场资格确认，通过现场资格确认后方可进行综合测评。逾期不到的，视为自动放弃测评资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综合测评采取试讲+答辩，时间10+5分钟的方式进行，内容为本专业领域的</w:t>
      </w:r>
      <w:r>
        <w:rPr>
          <w:rFonts w:hint="eastAsia" w:ascii="仿宋_GB2312" w:hAnsi="仿宋_GB2312" w:eastAsia="仿宋_GB2312" w:cs="仿宋_GB2312"/>
          <w:color w:val="auto"/>
          <w:sz w:val="32"/>
          <w:szCs w:val="32"/>
          <w:lang w:val="en-US" w:eastAsia="zh-CN"/>
        </w:rPr>
        <w:t>基础理论、基本知识和基本技能，</w:t>
      </w:r>
      <w:r>
        <w:rPr>
          <w:rFonts w:hint="eastAsia" w:ascii="仿宋_GB2312" w:hAnsi="仿宋_GB2312" w:eastAsia="仿宋_GB2312" w:cs="仿宋_GB2312"/>
          <w:sz w:val="32"/>
          <w:szCs w:val="32"/>
          <w:lang w:val="en-US" w:eastAsia="zh-CN"/>
        </w:rPr>
        <w:t>主要考察应聘人员的专业技术水平、语言表达能力、分析判断能力等方面的综合素质。不指定试讲题目，可根据岗位要求和本人所学专业，自行准备一个课时（45分钟）本科专业课。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（三）体检、考察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综合测评结束后，同一招聘岗位依据总成绩从高分到低分的顺序，按1∶1的比例确定体检人选，在学校官网公布体检人员名单。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对体检合格的人员，等额确定为考察对象。考察内容主要为拟聘人员的政治思想表现、道德品质、业务能力、工作实绩等情况。对有违纪违规记录以及其他不符合应聘条件的人员，经核实取消应聘资格。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b w:val="0"/>
          <w:bCs w:val="0"/>
          <w:sz w:val="32"/>
          <w:szCs w:val="32"/>
          <w:lang w:val="en-US" w:eastAsia="zh-CN"/>
        </w:rPr>
      </w:pPr>
      <w:r>
        <w:rPr>
          <w:rFonts w:hint="eastAsia" w:ascii="方正楷体_GBK" w:hAnsi="方正楷体_GBK" w:eastAsia="方正楷体_GBK" w:cs="方正楷体_GBK"/>
          <w:b w:val="0"/>
          <w:bCs w:val="0"/>
          <w:sz w:val="32"/>
          <w:szCs w:val="32"/>
          <w:lang w:val="en-US" w:eastAsia="zh-CN"/>
        </w:rPr>
        <w:t>（四）公示聘用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体检、考察合格人员即为拟聘用人员。在周口人事考试网进行公示。公示期满无异议的，按照有关规定办理聘用手续。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引进人员最低服务期为五年（含试用期）。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rPr>
        <w:t>（</w:t>
      </w:r>
      <w:r>
        <w:rPr>
          <w:rFonts w:hint="eastAsia" w:ascii="方正楷体_GBK" w:hAnsi="方正楷体_GBK" w:eastAsia="方正楷体_GBK" w:cs="方正楷体_GBK"/>
          <w:b w:val="0"/>
          <w:bCs w:val="0"/>
          <w:sz w:val="32"/>
          <w:szCs w:val="32"/>
          <w:lang w:val="en-US" w:eastAsia="zh-CN"/>
        </w:rPr>
        <w:t>五</w:t>
      </w:r>
      <w:r>
        <w:rPr>
          <w:rFonts w:hint="eastAsia" w:ascii="方正楷体_GBK" w:hAnsi="方正楷体_GBK" w:eastAsia="方正楷体_GBK" w:cs="方正楷体_GBK"/>
          <w:b w:val="0"/>
          <w:bCs w:val="0"/>
          <w:sz w:val="32"/>
          <w:szCs w:val="32"/>
        </w:rPr>
        <w:t>）注意事项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1.资格审查贯穿招聘工作全过程。报名人员报名时提交的信息和提供的有关材料必须真实有效。一经发现不符合聘用条件、弄虚作假或违反引进规定的，将取消其考试、聘用资格，由此产生的后果由个人承担；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2.招聘工作中具体事宜，请应聘人员随时关注我校</w:t>
      </w:r>
      <w:r>
        <w:rPr>
          <w:rFonts w:hint="eastAsia" w:ascii="仿宋_GB2312" w:hAnsi="仿宋_GB2312" w:eastAsia="仿宋_GB2312" w:cs="仿宋_GB2312"/>
          <w:sz w:val="32"/>
          <w:szCs w:val="32"/>
          <w:lang w:val="en-US" w:eastAsia="zh-CN"/>
        </w:rPr>
        <w:t>官网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因</w:t>
      </w:r>
      <w:r>
        <w:rPr>
          <w:rFonts w:hint="eastAsia" w:ascii="仿宋_GB2312" w:hAnsi="仿宋_GB2312" w:eastAsia="仿宋_GB2312" w:cs="仿宋_GB2312"/>
          <w:sz w:val="32"/>
          <w:szCs w:val="32"/>
        </w:rPr>
        <w:t>本人不及时阅读相关信息</w:t>
      </w:r>
      <w:r>
        <w:rPr>
          <w:rFonts w:hint="eastAsia" w:ascii="仿宋_GB2312" w:hAnsi="仿宋_GB2312" w:eastAsia="仿宋_GB2312" w:cs="仿宋_GB2312"/>
          <w:sz w:val="32"/>
          <w:szCs w:val="32"/>
          <w:lang w:val="en-US" w:eastAsia="zh-CN"/>
        </w:rPr>
        <w:t>而</w:t>
      </w:r>
      <w:r>
        <w:rPr>
          <w:rFonts w:hint="eastAsia" w:ascii="仿宋_GB2312" w:hAnsi="仿宋_GB2312" w:eastAsia="仿宋_GB2312" w:cs="仿宋_GB2312"/>
          <w:sz w:val="32"/>
          <w:szCs w:val="32"/>
        </w:rPr>
        <w:t>造成</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 xml:space="preserve">后果，责任自负。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、咨询方式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人：孟老师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联系电话：0394-8318878</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咨询时间：工作日上午8:00-12:00，下午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学校地址：河南省周口市文昌大道东段6号河南科技职业大学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邮编：466000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、其他事项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.人才引进</w:t>
      </w:r>
      <w:r>
        <w:rPr>
          <w:rFonts w:hint="eastAsia" w:ascii="仿宋_GB2312" w:hAnsi="仿宋_GB2312" w:eastAsia="仿宋_GB2312" w:cs="仿宋_GB2312"/>
          <w:sz w:val="32"/>
          <w:szCs w:val="32"/>
        </w:rPr>
        <w:t>公告通过</w:t>
      </w:r>
      <w:r>
        <w:rPr>
          <w:rFonts w:hint="eastAsia" w:ascii="仿宋_GB2312" w:hAnsi="仿宋_GB2312" w:eastAsia="仿宋_GB2312" w:cs="仿宋_GB2312"/>
          <w:sz w:val="32"/>
          <w:szCs w:val="32"/>
          <w:lang w:val="en-US" w:eastAsia="zh-CN"/>
        </w:rPr>
        <w:t>河南科技职业大学官网</w:t>
      </w:r>
      <w:r>
        <w:rPr>
          <w:rFonts w:hint="eastAsia" w:ascii="仿宋_GB2312" w:hAnsi="仿宋_GB2312" w:eastAsia="仿宋_GB2312" w:cs="仿宋_GB2312"/>
          <w:sz w:val="32"/>
          <w:szCs w:val="32"/>
        </w:rPr>
        <w:t>进行发布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本次引进高层次人才公告最终解释权归河南科技职业大学202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年高层次人才引进工作领导小组。</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附件1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河南科技职业大学202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年高层次人才</w:t>
      </w:r>
      <w:r>
        <w:rPr>
          <w:rFonts w:hint="eastAsia" w:ascii="仿宋_GB2312" w:hAnsi="仿宋_GB2312" w:eastAsia="仿宋_GB2312" w:cs="仿宋_GB2312"/>
          <w:sz w:val="32"/>
          <w:szCs w:val="32"/>
          <w:lang w:val="en-US" w:eastAsia="zh-CN"/>
        </w:rPr>
        <w:t>引进</w:t>
      </w:r>
      <w:r>
        <w:rPr>
          <w:rFonts w:hint="eastAsia" w:ascii="仿宋_GB2312" w:hAnsi="仿宋_GB2312" w:eastAsia="仿宋_GB2312" w:cs="仿宋_GB2312"/>
          <w:sz w:val="32"/>
          <w:szCs w:val="32"/>
        </w:rPr>
        <w:t>需求表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附件2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河南科技职业大学</w:t>
      </w:r>
      <w:r>
        <w:rPr>
          <w:rFonts w:hint="eastAsia" w:ascii="仿宋_GB2312" w:hAnsi="仿宋_GB2312" w:eastAsia="仿宋_GB2312" w:cs="仿宋_GB2312"/>
          <w:sz w:val="32"/>
          <w:szCs w:val="32"/>
          <w:lang w:eastAsia="zh-CN"/>
        </w:rPr>
        <w:t>2021</w:t>
      </w:r>
      <w:r>
        <w:rPr>
          <w:rFonts w:hint="eastAsia" w:ascii="仿宋_GB2312" w:hAnsi="仿宋_GB2312" w:eastAsia="仿宋_GB2312" w:cs="仿宋_GB2312"/>
          <w:sz w:val="32"/>
          <w:szCs w:val="32"/>
        </w:rPr>
        <w:t>年高层次人才引进报名表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河南科技职业大学</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2021年6月25</w:t>
      </w:r>
      <w:bookmarkStart w:id="0" w:name="_GoBack"/>
      <w:bookmarkEnd w:id="0"/>
      <w:r>
        <w:rPr>
          <w:rFonts w:hint="eastAsia" w:ascii="仿宋_GB2312" w:hAnsi="仿宋_GB2312" w:eastAsia="仿宋_GB2312" w:cs="仿宋_GB2312"/>
          <w:sz w:val="32"/>
          <w:szCs w:val="32"/>
          <w:lang w:val="en-US" w:eastAsia="zh-CN"/>
        </w:rPr>
        <w:t>日</w:t>
      </w:r>
    </w:p>
    <w:p>
      <w:pPr>
        <w:keepNext w:val="0"/>
        <w:keepLines w:val="0"/>
        <w:pageBreakBefore w:val="0"/>
        <w:widowControl w:val="0"/>
        <w:kinsoku/>
        <w:wordWrap/>
        <w:overflowPunct/>
        <w:topLinePunct w:val="0"/>
        <w:autoSpaceDE/>
        <w:autoSpaceDN/>
        <w:bidi w:val="0"/>
        <w:adjustRightInd/>
        <w:snapToGrid/>
        <w:spacing w:line="600" w:lineRule="exact"/>
        <w:ind w:firstLine="5600" w:firstLineChars="2000"/>
        <w:textAlignment w:val="auto"/>
        <w:rPr>
          <w:rFonts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r>
        <w:rPr>
          <w:rFonts w:hint="eastAsia" w:ascii="宋体" w:hAnsi="宋体" w:eastAsia="宋体" w:cs="宋体"/>
          <w:sz w:val="24"/>
          <w:szCs w:val="24"/>
        </w:rPr>
        <w:t>附件1</w:t>
      </w:r>
      <w:r>
        <w:rPr>
          <w:rFonts w:hint="eastAsia" w:ascii="宋体" w:hAnsi="宋体" w:eastAsia="宋体" w:cs="宋体"/>
          <w:sz w:val="28"/>
          <w:szCs w:val="28"/>
        </w:rPr>
        <w:t xml:space="preserve"> </w:t>
      </w:r>
    </w:p>
    <w:p>
      <w:pPr>
        <w:spacing w:line="360" w:lineRule="auto"/>
        <w:jc w:val="center"/>
        <w:rPr>
          <w:rFonts w:ascii="宋体" w:hAnsi="宋体" w:eastAsia="宋体" w:cs="宋体"/>
          <w:b/>
          <w:bCs/>
          <w:sz w:val="28"/>
          <w:szCs w:val="28"/>
        </w:rPr>
      </w:pPr>
      <w:r>
        <w:rPr>
          <w:rFonts w:hint="eastAsia" w:ascii="宋体" w:hAnsi="宋体" w:eastAsia="宋体" w:cs="宋体"/>
          <w:b/>
          <w:bCs/>
          <w:sz w:val="28"/>
          <w:szCs w:val="28"/>
        </w:rPr>
        <w:t>河南科技职业大学202</w:t>
      </w:r>
      <w:r>
        <w:rPr>
          <w:rFonts w:hint="eastAsia" w:ascii="宋体" w:hAnsi="宋体" w:eastAsia="宋体" w:cs="宋体"/>
          <w:b/>
          <w:bCs/>
          <w:sz w:val="28"/>
          <w:szCs w:val="28"/>
          <w:lang w:val="en-US" w:eastAsia="zh-CN"/>
        </w:rPr>
        <w:t>1</w:t>
      </w:r>
      <w:r>
        <w:rPr>
          <w:rFonts w:hint="eastAsia" w:ascii="宋体" w:hAnsi="宋体" w:eastAsia="宋体" w:cs="宋体"/>
          <w:b/>
          <w:bCs/>
          <w:sz w:val="28"/>
          <w:szCs w:val="28"/>
        </w:rPr>
        <w:t>年高层次人才</w:t>
      </w:r>
      <w:r>
        <w:rPr>
          <w:rFonts w:hint="eastAsia" w:ascii="宋体" w:hAnsi="宋体" w:eastAsia="宋体" w:cs="宋体"/>
          <w:b/>
          <w:bCs/>
          <w:sz w:val="28"/>
          <w:szCs w:val="28"/>
          <w:lang w:val="en-US" w:eastAsia="zh-CN"/>
        </w:rPr>
        <w:t>引进</w:t>
      </w:r>
      <w:r>
        <w:rPr>
          <w:rFonts w:hint="eastAsia" w:ascii="宋体" w:hAnsi="宋体" w:eastAsia="宋体" w:cs="宋体"/>
          <w:b/>
          <w:bCs/>
          <w:sz w:val="28"/>
          <w:szCs w:val="28"/>
        </w:rPr>
        <w:t>需求表</w:t>
      </w:r>
    </w:p>
    <w:tbl>
      <w:tblPr>
        <w:tblStyle w:val="8"/>
        <w:tblW w:w="8504" w:type="dxa"/>
        <w:jc w:val="center"/>
        <w:shd w:val="clear" w:color="auto" w:fill="auto"/>
        <w:tblLayout w:type="fixed"/>
        <w:tblCellMar>
          <w:top w:w="0" w:type="dxa"/>
          <w:left w:w="108" w:type="dxa"/>
          <w:bottom w:w="0" w:type="dxa"/>
          <w:right w:w="108" w:type="dxa"/>
        </w:tblCellMar>
      </w:tblPr>
      <w:tblGrid>
        <w:gridCol w:w="429"/>
        <w:gridCol w:w="868"/>
        <w:gridCol w:w="869"/>
        <w:gridCol w:w="869"/>
        <w:gridCol w:w="615"/>
        <w:gridCol w:w="999"/>
        <w:gridCol w:w="851"/>
        <w:gridCol w:w="1142"/>
        <w:gridCol w:w="1862"/>
      </w:tblGrid>
      <w:tr>
        <w:tblPrEx>
          <w:tblCellMar>
            <w:top w:w="0" w:type="dxa"/>
            <w:left w:w="108" w:type="dxa"/>
            <w:bottom w:w="0" w:type="dxa"/>
            <w:right w:w="108" w:type="dxa"/>
          </w:tblCellMar>
        </w:tblPrEx>
        <w:trPr>
          <w:trHeight w:val="460" w:hRule="atLeast"/>
          <w:jc w:val="center"/>
        </w:trPr>
        <w:tc>
          <w:tcPr>
            <w:tcW w:w="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用人单位</w:t>
            </w: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岗位名称</w:t>
            </w:r>
          </w:p>
        </w:tc>
        <w:tc>
          <w:tcPr>
            <w:tcW w:w="615"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引进计划</w:t>
            </w:r>
          </w:p>
        </w:tc>
        <w:tc>
          <w:tcPr>
            <w:tcW w:w="48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岗位要求</w:t>
            </w:r>
          </w:p>
        </w:tc>
      </w:tr>
      <w:tr>
        <w:tblPrEx>
          <w:shd w:val="clear" w:color="auto" w:fill="auto"/>
          <w:tblCellMar>
            <w:top w:w="0" w:type="dxa"/>
            <w:left w:w="108" w:type="dxa"/>
            <w:bottom w:w="0" w:type="dxa"/>
            <w:right w:w="108" w:type="dxa"/>
          </w:tblCellMar>
        </w:tblPrEx>
        <w:trPr>
          <w:trHeight w:val="480" w:hRule="atLeast"/>
          <w:jc w:val="center"/>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1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学历学位</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职称</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专业</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w:t>
            </w:r>
          </w:p>
        </w:tc>
      </w:tr>
      <w:tr>
        <w:tblPrEx>
          <w:shd w:val="clear" w:color="auto" w:fill="auto"/>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86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周口市教育体育局</w:t>
            </w:r>
          </w:p>
        </w:tc>
        <w:tc>
          <w:tcPr>
            <w:tcW w:w="86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河南科技职业大学</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高校教师01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临床医学类、护理类</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高校教师02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shd w:val="clear" w:color="auto" w:fill="auto"/>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高校教师03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药学类</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shd w:val="clear" w:color="auto" w:fill="auto"/>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高校教师04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计算机类</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shd w:val="clear" w:color="auto" w:fill="auto"/>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高校教师05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电子信息类</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高校教师06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汽车类</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tblCellMar>
            <w:top w:w="0" w:type="dxa"/>
            <w:left w:w="108" w:type="dxa"/>
            <w:bottom w:w="0" w:type="dxa"/>
            <w:right w:w="108" w:type="dxa"/>
          </w:tblCellMar>
        </w:tblPrEx>
        <w:trPr>
          <w:trHeight w:val="82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高校教师07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电气工程、控制理论与控制工程</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shd w:val="clear" w:color="auto" w:fill="auto"/>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高校教师08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物理学</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shd w:val="clear" w:color="auto" w:fill="auto"/>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9</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高校教师09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材料加工工程</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shd w:val="clear" w:color="auto" w:fill="auto"/>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高校教师10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工程力学、环境科学、材料工程</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11</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高校教师11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物流管理、财务会计类</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shd w:val="clear" w:color="auto" w:fill="auto"/>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12</w:t>
            </w:r>
          </w:p>
        </w:tc>
        <w:tc>
          <w:tcPr>
            <w:tcW w:w="86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高校教师12</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社会工作、工商管理、行政管理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shd w:val="clear" w:color="auto" w:fill="auto"/>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13</w:t>
            </w:r>
          </w:p>
        </w:tc>
        <w:tc>
          <w:tcPr>
            <w:tcW w:w="86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周口市教育体育局</w:t>
            </w:r>
          </w:p>
        </w:tc>
        <w:tc>
          <w:tcPr>
            <w:tcW w:w="86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河南科技职业大学</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高校教师13</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音乐、舞蹈类</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shd w:val="clear" w:color="auto" w:fill="auto"/>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高校教师14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教育学（学前教育学）</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15</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高校教师15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艺术设计、美术、数字媒体</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tblCellMar>
            <w:top w:w="0" w:type="dxa"/>
            <w:left w:w="108" w:type="dxa"/>
            <w:bottom w:w="0" w:type="dxa"/>
            <w:right w:w="108" w:type="dxa"/>
          </w:tblCellMar>
        </w:tblPrEx>
        <w:trPr>
          <w:trHeight w:val="78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高校教师16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服装设计与工程、戏剧与影视学、广播电视</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17</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高校教师17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数学类</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shd w:val="clear" w:color="auto" w:fill="auto"/>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18</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高校教师18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英语类</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高校教师19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体育类</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tblCellMar>
            <w:top w:w="0" w:type="dxa"/>
            <w:left w:w="108" w:type="dxa"/>
            <w:bottom w:w="0" w:type="dxa"/>
            <w:right w:w="108" w:type="dxa"/>
          </w:tblCellMar>
        </w:tblPrEx>
        <w:trPr>
          <w:trHeight w:val="64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w:t>
            </w:r>
          </w:p>
        </w:tc>
        <w:tc>
          <w:tcPr>
            <w:tcW w:w="868"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高校教师20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思政类</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r>
        <w:tblPrEx>
          <w:shd w:val="clear" w:color="auto" w:fill="auto"/>
          <w:tblCellMar>
            <w:top w:w="0" w:type="dxa"/>
            <w:left w:w="108" w:type="dxa"/>
            <w:bottom w:w="0" w:type="dxa"/>
            <w:right w:w="108" w:type="dxa"/>
          </w:tblCellMar>
        </w:tblPrEx>
        <w:trPr>
          <w:trHeight w:val="760" w:hRule="atLeast"/>
          <w:jc w:val="center"/>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w:t>
            </w:r>
          </w:p>
        </w:tc>
        <w:tc>
          <w:tcPr>
            <w:tcW w:w="86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高校教师21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全日制硕士研究生及其以上</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副高级及其以上</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语言学及应用语言学、少数民族艺术文化研究</w:t>
            </w:r>
          </w:p>
        </w:tc>
        <w:tc>
          <w:tcPr>
            <w:tcW w:w="1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全日制硕士研究生或副高级以上职称均可报名</w:t>
            </w:r>
          </w:p>
        </w:tc>
      </w:tr>
    </w:tbl>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pStyle w:val="7"/>
        <w:widowControl/>
        <w:spacing w:beforeAutospacing="0" w:afterAutospacing="0" w:line="360" w:lineRule="exact"/>
        <w:ind w:right="1120"/>
        <w:jc w:val="both"/>
        <w:rPr>
          <w:rFonts w:hint="eastAsia" w:ascii="宋体" w:hAnsi="宋体" w:eastAsia="宋体" w:cs="宋体"/>
          <w:sz w:val="28"/>
          <w:szCs w:val="28"/>
        </w:rPr>
      </w:pPr>
    </w:p>
    <w:p>
      <w:pPr>
        <w:pStyle w:val="7"/>
        <w:widowControl/>
        <w:spacing w:beforeAutospacing="0" w:afterAutospacing="0" w:line="360" w:lineRule="exact"/>
        <w:ind w:right="1120"/>
        <w:jc w:val="both"/>
        <w:rPr>
          <w:rFonts w:hint="eastAsia" w:ascii="宋体" w:hAnsi="宋体" w:eastAsia="宋体" w:cs="宋体"/>
          <w:sz w:val="24"/>
          <w:szCs w:val="24"/>
        </w:rPr>
      </w:pPr>
      <w:r>
        <w:rPr>
          <w:rFonts w:hint="eastAsia" w:ascii="宋体" w:hAnsi="宋体" w:eastAsia="宋体" w:cs="宋体"/>
          <w:sz w:val="24"/>
          <w:szCs w:val="24"/>
        </w:rPr>
        <w:t>附件2</w:t>
      </w:r>
    </w:p>
    <w:p>
      <w:pPr>
        <w:pStyle w:val="7"/>
        <w:widowControl/>
        <w:spacing w:beforeAutospacing="0" w:afterAutospacing="0" w:line="360" w:lineRule="exact"/>
        <w:ind w:right="1120"/>
        <w:jc w:val="center"/>
        <w:rPr>
          <w:rFonts w:hint="eastAsia" w:ascii="宋体" w:hAnsi="宋体" w:eastAsia="宋体" w:cs="宋体"/>
          <w:b/>
          <w:bCs/>
          <w:sz w:val="32"/>
          <w:szCs w:val="32"/>
        </w:rPr>
      </w:pPr>
    </w:p>
    <w:p>
      <w:pPr>
        <w:pStyle w:val="7"/>
        <w:widowControl/>
        <w:spacing w:beforeAutospacing="0" w:afterAutospacing="0" w:line="360" w:lineRule="exact"/>
        <w:ind w:right="1120"/>
        <w:jc w:val="center"/>
        <w:rPr>
          <w:rFonts w:hint="eastAsia" w:ascii="宋体" w:hAnsi="宋体" w:eastAsia="宋体" w:cs="宋体"/>
          <w:b/>
          <w:bCs/>
          <w:sz w:val="32"/>
          <w:szCs w:val="32"/>
        </w:rPr>
      </w:pPr>
      <w:r>
        <w:rPr>
          <w:rFonts w:hint="eastAsia" w:ascii="宋体" w:hAnsi="宋体" w:eastAsia="宋体" w:cs="宋体"/>
          <w:b/>
          <w:bCs/>
          <w:sz w:val="32"/>
          <w:szCs w:val="32"/>
        </w:rPr>
        <w:t>河南科技职业大学</w:t>
      </w:r>
      <w:r>
        <w:rPr>
          <w:rFonts w:hint="eastAsia" w:ascii="宋体" w:hAnsi="宋体" w:eastAsia="宋体" w:cs="宋体"/>
          <w:b/>
          <w:bCs/>
          <w:sz w:val="32"/>
          <w:szCs w:val="32"/>
          <w:lang w:eastAsia="zh-CN"/>
        </w:rPr>
        <w:t>2021</w:t>
      </w:r>
      <w:r>
        <w:rPr>
          <w:rFonts w:hint="eastAsia" w:ascii="宋体" w:hAnsi="宋体" w:eastAsia="宋体" w:cs="宋体"/>
          <w:b/>
          <w:bCs/>
          <w:sz w:val="32"/>
          <w:szCs w:val="32"/>
        </w:rPr>
        <w:t>年高层次人才引进报名表</w:t>
      </w:r>
    </w:p>
    <w:p>
      <w:pPr>
        <w:pStyle w:val="7"/>
        <w:widowControl/>
        <w:spacing w:beforeAutospacing="0" w:afterAutospacing="0" w:line="360" w:lineRule="exact"/>
        <w:ind w:right="1120"/>
        <w:jc w:val="both"/>
        <w:rPr>
          <w:rFonts w:hint="eastAsia" w:ascii="宋体" w:hAnsi="宋体" w:eastAsia="宋体" w:cs="宋体"/>
          <w:sz w:val="28"/>
          <w:szCs w:val="28"/>
        </w:rPr>
      </w:pPr>
    </w:p>
    <w:tbl>
      <w:tblPr>
        <w:tblStyle w:val="8"/>
        <w:tblW w:w="4999" w:type="pct"/>
        <w:tblInd w:w="0" w:type="dxa"/>
        <w:tblLayout w:type="autofit"/>
        <w:tblCellMar>
          <w:top w:w="15" w:type="dxa"/>
          <w:left w:w="15" w:type="dxa"/>
          <w:bottom w:w="15" w:type="dxa"/>
          <w:right w:w="15" w:type="dxa"/>
        </w:tblCellMar>
      </w:tblPr>
      <w:tblGrid>
        <w:gridCol w:w="157"/>
        <w:gridCol w:w="648"/>
        <w:gridCol w:w="251"/>
        <w:gridCol w:w="399"/>
        <w:gridCol w:w="566"/>
        <w:gridCol w:w="573"/>
        <w:gridCol w:w="757"/>
        <w:gridCol w:w="25"/>
        <w:gridCol w:w="1032"/>
        <w:gridCol w:w="118"/>
        <w:gridCol w:w="482"/>
        <w:gridCol w:w="895"/>
        <w:gridCol w:w="444"/>
        <w:gridCol w:w="424"/>
        <w:gridCol w:w="732"/>
        <w:gridCol w:w="127"/>
        <w:gridCol w:w="1216"/>
        <w:gridCol w:w="244"/>
        <w:gridCol w:w="10"/>
      </w:tblGrid>
      <w:tr>
        <w:tblPrEx>
          <w:tblCellMar>
            <w:top w:w="15" w:type="dxa"/>
            <w:left w:w="15" w:type="dxa"/>
            <w:bottom w:w="15" w:type="dxa"/>
            <w:right w:w="15" w:type="dxa"/>
          </w:tblCellMar>
        </w:tblPrEx>
        <w:trPr>
          <w:gridAfter w:val="1"/>
          <w:wAfter w:w="5" w:type="pct"/>
          <w:trHeight w:val="360" w:hRule="atLeast"/>
        </w:trPr>
        <w:tc>
          <w:tcPr>
            <w:tcW w:w="799" w:type="pct"/>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姓 名</w:t>
            </w:r>
          </w:p>
        </w:tc>
        <w:tc>
          <w:tcPr>
            <w:tcW w:w="626" w:type="pct"/>
            <w:gridSpan w:val="2"/>
            <w:vMerge w:val="restar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415"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性</w:t>
            </w:r>
            <w:r>
              <w:rPr>
                <w:rStyle w:val="14"/>
                <w:rFonts w:hint="eastAsia" w:ascii="宋体" w:hAnsi="宋体" w:eastAsia="宋体" w:cs="宋体"/>
                <w:sz w:val="21"/>
                <w:szCs w:val="21"/>
                <w:lang w:bidi="ar"/>
              </w:rPr>
              <w:t xml:space="preserve"> 别</w:t>
            </w:r>
          </w:p>
        </w:tc>
        <w:tc>
          <w:tcPr>
            <w:tcW w:w="646" w:type="pct"/>
            <w:gridSpan w:val="3"/>
            <w:vMerge w:val="restart"/>
            <w:tcBorders>
              <w:top w:val="single" w:color="000000" w:sz="4" w:space="0"/>
              <w:left w:val="single" w:color="000000" w:sz="4" w:space="0"/>
              <w:bottom w:val="single" w:color="000000" w:sz="4" w:space="0"/>
              <w:right w:val="single" w:color="000000" w:sz="4" w:space="0"/>
            </w:tcBorders>
            <w:vAlign w:val="center"/>
          </w:tcPr>
          <w:p>
            <w:pPr>
              <w:ind w:right="355" w:rightChars="169"/>
              <w:jc w:val="center"/>
              <w:rPr>
                <w:rFonts w:hint="eastAsia" w:ascii="宋体" w:hAnsi="宋体" w:eastAsia="宋体" w:cs="宋体"/>
                <w:color w:val="000000"/>
                <w:sz w:val="21"/>
                <w:szCs w:val="21"/>
              </w:rPr>
            </w:pPr>
          </w:p>
        </w:tc>
        <w:tc>
          <w:tcPr>
            <w:tcW w:w="757" w:type="pct"/>
            <w:gridSpan w:val="2"/>
            <w:vMerge w:val="restart"/>
            <w:tcBorders>
              <w:top w:val="single" w:color="000000" w:sz="4" w:space="0"/>
              <w:left w:val="single" w:color="000000" w:sz="4" w:space="0"/>
              <w:bottom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出生年月（  岁）</w:t>
            </w:r>
          </w:p>
        </w:tc>
        <w:tc>
          <w:tcPr>
            <w:tcW w:w="879" w:type="pct"/>
            <w:gridSpan w:val="3"/>
            <w:vMerge w:val="restar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870" w:type="pct"/>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照  片</w:t>
            </w:r>
          </w:p>
        </w:tc>
      </w:tr>
      <w:tr>
        <w:tblPrEx>
          <w:tblCellMar>
            <w:top w:w="15" w:type="dxa"/>
            <w:left w:w="15" w:type="dxa"/>
            <w:bottom w:w="15" w:type="dxa"/>
            <w:right w:w="15" w:type="dxa"/>
          </w:tblCellMar>
        </w:tblPrEx>
        <w:trPr>
          <w:gridAfter w:val="1"/>
          <w:wAfter w:w="5" w:type="pct"/>
          <w:trHeight w:val="312" w:hRule="atLeast"/>
        </w:trPr>
        <w:tc>
          <w:tcPr>
            <w:tcW w:w="799" w:type="pct"/>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626"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415"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646" w:type="pct"/>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757" w:type="pct"/>
            <w:gridSpan w:val="2"/>
            <w:vMerge w:val="continue"/>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color w:val="000000"/>
                <w:sz w:val="21"/>
                <w:szCs w:val="21"/>
              </w:rPr>
            </w:pPr>
          </w:p>
        </w:tc>
        <w:tc>
          <w:tcPr>
            <w:tcW w:w="879" w:type="pct"/>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870" w:type="pct"/>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After w:val="1"/>
          <w:wAfter w:w="5" w:type="pct"/>
          <w:trHeight w:val="599" w:hRule="atLeast"/>
        </w:trPr>
        <w:tc>
          <w:tcPr>
            <w:tcW w:w="799"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民</w:t>
            </w:r>
            <w:r>
              <w:rPr>
                <w:rStyle w:val="14"/>
                <w:rFonts w:hint="eastAsia" w:ascii="宋体" w:hAnsi="宋体" w:eastAsia="宋体" w:cs="宋体"/>
                <w:sz w:val="21"/>
                <w:szCs w:val="21"/>
                <w:lang w:bidi="ar"/>
              </w:rPr>
              <w:t xml:space="preserve"> 族</w:t>
            </w:r>
          </w:p>
        </w:tc>
        <w:tc>
          <w:tcPr>
            <w:tcW w:w="626"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41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籍</w:t>
            </w:r>
            <w:r>
              <w:rPr>
                <w:rStyle w:val="14"/>
                <w:rFonts w:hint="eastAsia" w:ascii="宋体" w:hAnsi="宋体" w:eastAsia="宋体" w:cs="宋体"/>
                <w:sz w:val="21"/>
                <w:szCs w:val="21"/>
                <w:lang w:bidi="ar"/>
              </w:rPr>
              <w:t xml:space="preserve"> 贯</w:t>
            </w:r>
          </w:p>
        </w:tc>
        <w:tc>
          <w:tcPr>
            <w:tcW w:w="646"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757"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政治面貌</w:t>
            </w:r>
          </w:p>
        </w:tc>
        <w:tc>
          <w:tcPr>
            <w:tcW w:w="879"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870" w:type="pct"/>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After w:val="1"/>
          <w:wAfter w:w="5" w:type="pct"/>
          <w:trHeight w:val="567" w:hRule="atLeast"/>
        </w:trPr>
        <w:tc>
          <w:tcPr>
            <w:tcW w:w="799"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现户籍地</w:t>
            </w:r>
          </w:p>
        </w:tc>
        <w:tc>
          <w:tcPr>
            <w:tcW w:w="1688" w:type="pct"/>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p>
        </w:tc>
        <w:tc>
          <w:tcPr>
            <w:tcW w:w="757"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婚姻状况</w:t>
            </w:r>
          </w:p>
        </w:tc>
        <w:tc>
          <w:tcPr>
            <w:tcW w:w="879"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870" w:type="pct"/>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After w:val="1"/>
          <w:wAfter w:w="5" w:type="pct"/>
          <w:trHeight w:val="567" w:hRule="atLeast"/>
        </w:trPr>
        <w:tc>
          <w:tcPr>
            <w:tcW w:w="799" w:type="pct"/>
            <w:gridSpan w:val="4"/>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身份证号</w:t>
            </w:r>
          </w:p>
        </w:tc>
        <w:tc>
          <w:tcPr>
            <w:tcW w:w="1953" w:type="pct"/>
            <w:gridSpan w:val="7"/>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 xml:space="preserve">     </w:t>
            </w:r>
          </w:p>
        </w:tc>
        <w:tc>
          <w:tcPr>
            <w:tcW w:w="736" w:type="pct"/>
            <w:gridSpan w:val="2"/>
            <w:tcBorders>
              <w:top w:val="single" w:color="000000" w:sz="4" w:space="0"/>
              <w:left w:val="single" w:color="auto" w:sz="4" w:space="0"/>
              <w:right w:val="single" w:color="000000" w:sz="4" w:space="0"/>
            </w:tcBorders>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参加工作</w:t>
            </w:r>
          </w:p>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时   间</w:t>
            </w:r>
          </w:p>
        </w:tc>
        <w:tc>
          <w:tcPr>
            <w:tcW w:w="635" w:type="pct"/>
            <w:gridSpan w:val="2"/>
            <w:tcBorders>
              <w:top w:val="single" w:color="000000" w:sz="4" w:space="0"/>
              <w:left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870" w:type="pct"/>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After w:val="1"/>
          <w:wAfter w:w="5" w:type="pct"/>
          <w:trHeight w:val="567" w:hRule="atLeast"/>
        </w:trPr>
        <w:tc>
          <w:tcPr>
            <w:tcW w:w="799" w:type="pct"/>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 xml:space="preserve">学 历 </w:t>
            </w:r>
          </w:p>
        </w:tc>
        <w:tc>
          <w:tcPr>
            <w:tcW w:w="626" w:type="pct"/>
            <w:gridSpan w:val="2"/>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最高学历</w:t>
            </w:r>
          </w:p>
        </w:tc>
        <w:tc>
          <w:tcPr>
            <w:tcW w:w="1061" w:type="pct"/>
            <w:gridSpan w:val="4"/>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p>
        </w:tc>
        <w:tc>
          <w:tcPr>
            <w:tcW w:w="1001" w:type="pct"/>
            <w:gridSpan w:val="3"/>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毕业院校及专业</w:t>
            </w:r>
          </w:p>
        </w:tc>
        <w:tc>
          <w:tcPr>
            <w:tcW w:w="1505" w:type="pct"/>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After w:val="1"/>
          <w:wAfter w:w="5" w:type="pct"/>
          <w:trHeight w:val="567" w:hRule="atLeast"/>
        </w:trPr>
        <w:tc>
          <w:tcPr>
            <w:tcW w:w="799" w:type="pct"/>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626"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第一学历</w:t>
            </w:r>
          </w:p>
        </w:tc>
        <w:tc>
          <w:tcPr>
            <w:tcW w:w="1061" w:type="pct"/>
            <w:gridSpan w:val="4"/>
            <w:tcBorders>
              <w:left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p>
        </w:tc>
        <w:tc>
          <w:tcPr>
            <w:tcW w:w="1001"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毕业院校及专业</w:t>
            </w:r>
          </w:p>
        </w:tc>
        <w:tc>
          <w:tcPr>
            <w:tcW w:w="1505" w:type="pct"/>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After w:val="1"/>
          <w:wAfter w:w="5" w:type="pct"/>
          <w:trHeight w:val="567" w:hRule="atLeast"/>
        </w:trPr>
        <w:tc>
          <w:tcPr>
            <w:tcW w:w="799"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职称</w:t>
            </w:r>
          </w:p>
        </w:tc>
        <w:tc>
          <w:tcPr>
            <w:tcW w:w="1041"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646" w:type="pct"/>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职业资格</w:t>
            </w:r>
          </w:p>
        </w:tc>
        <w:tc>
          <w:tcPr>
            <w:tcW w:w="1001" w:type="pct"/>
            <w:gridSpan w:val="3"/>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color w:val="000000"/>
                <w:sz w:val="21"/>
                <w:szCs w:val="21"/>
              </w:rPr>
            </w:pPr>
          </w:p>
        </w:tc>
        <w:tc>
          <w:tcPr>
            <w:tcW w:w="705" w:type="pct"/>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应聘岗位</w:t>
            </w:r>
          </w:p>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编号</w:t>
            </w:r>
          </w:p>
        </w:tc>
        <w:tc>
          <w:tcPr>
            <w:tcW w:w="800"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After w:val="1"/>
          <w:wAfter w:w="5" w:type="pct"/>
          <w:trHeight w:val="567" w:hRule="atLeast"/>
        </w:trPr>
        <w:tc>
          <w:tcPr>
            <w:tcW w:w="1841" w:type="pct"/>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工作单位及现任职务</w:t>
            </w:r>
          </w:p>
        </w:tc>
        <w:tc>
          <w:tcPr>
            <w:tcW w:w="1647" w:type="pct"/>
            <w:gridSpan w:val="6"/>
            <w:tcBorders>
              <w:top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705" w:type="pct"/>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单位性质</w:t>
            </w:r>
          </w:p>
        </w:tc>
        <w:tc>
          <w:tcPr>
            <w:tcW w:w="800"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After w:val="1"/>
          <w:wAfter w:w="5" w:type="pct"/>
          <w:trHeight w:val="567" w:hRule="atLeast"/>
        </w:trPr>
        <w:tc>
          <w:tcPr>
            <w:tcW w:w="1841" w:type="pct"/>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参加学术团体及任职情况</w:t>
            </w:r>
          </w:p>
        </w:tc>
        <w:tc>
          <w:tcPr>
            <w:tcW w:w="3152" w:type="pct"/>
            <w:gridSpan w:val="11"/>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After w:val="1"/>
          <w:wAfter w:w="5" w:type="pct"/>
          <w:trHeight w:val="567" w:hRule="atLeast"/>
        </w:trPr>
        <w:tc>
          <w:tcPr>
            <w:tcW w:w="1841" w:type="pct"/>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参加民主党派及任职情况</w:t>
            </w:r>
          </w:p>
        </w:tc>
        <w:tc>
          <w:tcPr>
            <w:tcW w:w="3152" w:type="pct"/>
            <w:gridSpan w:val="11"/>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After w:val="1"/>
          <w:wAfter w:w="5" w:type="pct"/>
          <w:trHeight w:val="510" w:hRule="atLeast"/>
        </w:trPr>
        <w:tc>
          <w:tcPr>
            <w:tcW w:w="799"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联系电话</w:t>
            </w:r>
          </w:p>
        </w:tc>
        <w:tc>
          <w:tcPr>
            <w:tcW w:w="1041" w:type="pct"/>
            <w:gridSpan w:val="3"/>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color w:val="000000"/>
                <w:sz w:val="21"/>
                <w:szCs w:val="21"/>
              </w:rPr>
            </w:pPr>
          </w:p>
        </w:tc>
        <w:tc>
          <w:tcPr>
            <w:tcW w:w="646" w:type="pct"/>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联系地址</w:t>
            </w:r>
          </w:p>
        </w:tc>
        <w:tc>
          <w:tcPr>
            <w:tcW w:w="2506" w:type="pct"/>
            <w:gridSpan w:val="8"/>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After w:val="1"/>
          <w:wAfter w:w="5" w:type="pct"/>
          <w:trHeight w:val="634" w:hRule="atLeast"/>
        </w:trPr>
        <w:tc>
          <w:tcPr>
            <w:tcW w:w="799"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电子邮箱</w:t>
            </w:r>
          </w:p>
        </w:tc>
        <w:tc>
          <w:tcPr>
            <w:tcW w:w="1041" w:type="pct"/>
            <w:gridSpan w:val="3"/>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color w:val="000000"/>
                <w:sz w:val="21"/>
                <w:szCs w:val="21"/>
              </w:rPr>
            </w:pPr>
          </w:p>
        </w:tc>
        <w:tc>
          <w:tcPr>
            <w:tcW w:w="646" w:type="pct"/>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人事档案</w:t>
            </w:r>
          </w:p>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所在单位</w:t>
            </w:r>
          </w:p>
        </w:tc>
        <w:tc>
          <w:tcPr>
            <w:tcW w:w="2506" w:type="pct"/>
            <w:gridSpan w:val="8"/>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000000"/>
                <w:sz w:val="21"/>
                <w:szCs w:val="21"/>
              </w:rPr>
            </w:pPr>
          </w:p>
        </w:tc>
      </w:tr>
      <w:tr>
        <w:tblPrEx>
          <w:tblCellMar>
            <w:top w:w="15" w:type="dxa"/>
            <w:left w:w="15" w:type="dxa"/>
            <w:bottom w:w="15" w:type="dxa"/>
            <w:right w:w="15" w:type="dxa"/>
          </w:tblCellMar>
        </w:tblPrEx>
        <w:trPr>
          <w:trHeight w:val="4006" w:hRule="atLeast"/>
        </w:trPr>
        <w:tc>
          <w:tcPr>
            <w:tcW w:w="580" w:type="pct"/>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个人</w:t>
            </w:r>
            <w:r>
              <w:rPr>
                <w:rFonts w:hint="eastAsia" w:ascii="宋体" w:hAnsi="宋体" w:eastAsia="宋体" w:cs="宋体"/>
                <w:color w:val="000000"/>
                <w:kern w:val="0"/>
                <w:sz w:val="21"/>
                <w:szCs w:val="21"/>
                <w:lang w:val="en-US" w:eastAsia="zh-CN" w:bidi="ar"/>
              </w:rPr>
              <w:t>学习经历</w:t>
            </w:r>
            <w:r>
              <w:rPr>
                <w:rFonts w:hint="eastAsia" w:ascii="宋体" w:hAnsi="宋体" w:eastAsia="宋体" w:cs="宋体"/>
                <w:color w:val="000000"/>
                <w:kern w:val="0"/>
                <w:sz w:val="21"/>
                <w:szCs w:val="21"/>
                <w:lang w:bidi="ar"/>
              </w:rPr>
              <w:t>（自高中起填写）</w:t>
            </w:r>
          </w:p>
        </w:tc>
        <w:tc>
          <w:tcPr>
            <w:tcW w:w="4419" w:type="pct"/>
            <w:gridSpan w:val="16"/>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Before w:val="1"/>
          <w:gridAfter w:val="2"/>
          <w:wBefore w:w="86" w:type="pct"/>
          <w:wAfter w:w="138" w:type="pct"/>
          <w:trHeight w:val="3389" w:hRule="atLeast"/>
        </w:trPr>
        <w:tc>
          <w:tcPr>
            <w:tcW w:w="3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bidi="ar"/>
              </w:rPr>
              <w:t>个人工作</w:t>
            </w:r>
            <w:r>
              <w:rPr>
                <w:rFonts w:hint="eastAsia" w:ascii="宋体" w:hAnsi="宋体" w:eastAsia="宋体" w:cs="宋体"/>
                <w:color w:val="000000"/>
                <w:kern w:val="0"/>
                <w:sz w:val="21"/>
                <w:szCs w:val="21"/>
                <w:lang w:val="en-US" w:eastAsia="zh-CN" w:bidi="ar"/>
              </w:rPr>
              <w:t>经历</w:t>
            </w:r>
          </w:p>
        </w:tc>
        <w:tc>
          <w:tcPr>
            <w:tcW w:w="4418" w:type="pct"/>
            <w:gridSpan w:val="15"/>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tc>
      </w:tr>
      <w:tr>
        <w:tblPrEx>
          <w:tblCellMar>
            <w:top w:w="15" w:type="dxa"/>
            <w:left w:w="15" w:type="dxa"/>
            <w:bottom w:w="15" w:type="dxa"/>
            <w:right w:w="15" w:type="dxa"/>
          </w:tblCellMar>
        </w:tblPrEx>
        <w:trPr>
          <w:gridBefore w:val="1"/>
          <w:gridAfter w:val="2"/>
          <w:wBefore w:w="86" w:type="pct"/>
          <w:wAfter w:w="138" w:type="pct"/>
          <w:trHeight w:val="3509" w:hRule="atLeast"/>
        </w:trPr>
        <w:tc>
          <w:tcPr>
            <w:tcW w:w="3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个人业绩、成果或奖励</w:t>
            </w:r>
          </w:p>
        </w:tc>
        <w:tc>
          <w:tcPr>
            <w:tcW w:w="4418" w:type="pct"/>
            <w:gridSpan w:val="15"/>
            <w:tcBorders>
              <w:top w:val="single" w:color="000000" w:sz="4" w:space="0"/>
              <w:left w:val="single" w:color="000000" w:sz="4" w:space="0"/>
              <w:bottom w:val="single" w:color="000000" w:sz="4" w:space="0"/>
              <w:right w:val="single" w:color="000000" w:sz="4" w:space="0"/>
            </w:tcBorders>
            <w:vAlign w:val="center"/>
          </w:tcPr>
          <w:p>
            <w:pPr>
              <w:ind w:firstLine="420" w:firstLineChars="200"/>
              <w:jc w:val="left"/>
              <w:rPr>
                <w:rFonts w:hint="eastAsia" w:ascii="宋体" w:hAnsi="宋体" w:eastAsia="宋体" w:cs="宋体"/>
                <w:color w:val="000000"/>
                <w:sz w:val="21"/>
                <w:szCs w:val="21"/>
              </w:rPr>
            </w:pPr>
          </w:p>
          <w:p>
            <w:pPr>
              <w:ind w:firstLine="420" w:firstLineChars="200"/>
              <w:jc w:val="left"/>
              <w:rPr>
                <w:rFonts w:hint="eastAsia" w:ascii="宋体" w:hAnsi="宋体" w:eastAsia="宋体" w:cs="宋体"/>
                <w:color w:val="000000"/>
                <w:sz w:val="21"/>
                <w:szCs w:val="21"/>
              </w:rPr>
            </w:pPr>
          </w:p>
          <w:p>
            <w:pPr>
              <w:ind w:firstLine="420" w:firstLineChars="200"/>
              <w:jc w:val="left"/>
              <w:rPr>
                <w:rFonts w:hint="eastAsia" w:ascii="宋体" w:hAnsi="宋体" w:eastAsia="宋体" w:cs="宋体"/>
                <w:color w:val="000000"/>
                <w:sz w:val="21"/>
                <w:szCs w:val="21"/>
              </w:rPr>
            </w:pPr>
          </w:p>
          <w:p>
            <w:pPr>
              <w:ind w:firstLine="420" w:firstLineChars="200"/>
              <w:jc w:val="left"/>
              <w:rPr>
                <w:rFonts w:hint="eastAsia" w:ascii="宋体" w:hAnsi="宋体" w:eastAsia="宋体" w:cs="宋体"/>
                <w:color w:val="000000"/>
                <w:sz w:val="21"/>
                <w:szCs w:val="21"/>
              </w:rPr>
            </w:pPr>
          </w:p>
          <w:p>
            <w:pPr>
              <w:ind w:firstLine="420" w:firstLineChars="200"/>
              <w:jc w:val="left"/>
              <w:rPr>
                <w:rFonts w:hint="eastAsia" w:ascii="宋体" w:hAnsi="宋体" w:eastAsia="宋体" w:cs="宋体"/>
                <w:color w:val="000000"/>
                <w:sz w:val="21"/>
                <w:szCs w:val="21"/>
              </w:rPr>
            </w:pPr>
          </w:p>
          <w:p>
            <w:pPr>
              <w:ind w:firstLine="420" w:firstLineChars="200"/>
              <w:jc w:val="left"/>
              <w:rPr>
                <w:rFonts w:hint="eastAsia" w:ascii="宋体" w:hAnsi="宋体" w:eastAsia="宋体" w:cs="宋体"/>
                <w:color w:val="000000"/>
                <w:sz w:val="21"/>
                <w:szCs w:val="21"/>
              </w:rPr>
            </w:pPr>
          </w:p>
          <w:p>
            <w:pPr>
              <w:ind w:firstLine="420" w:firstLineChars="200"/>
              <w:jc w:val="left"/>
              <w:rPr>
                <w:rFonts w:hint="eastAsia" w:ascii="宋体" w:hAnsi="宋体" w:eastAsia="宋体" w:cs="宋体"/>
                <w:color w:val="000000"/>
                <w:sz w:val="21"/>
                <w:szCs w:val="21"/>
              </w:rPr>
            </w:pPr>
          </w:p>
          <w:p>
            <w:pPr>
              <w:ind w:firstLine="420" w:firstLineChars="200"/>
              <w:jc w:val="left"/>
              <w:rPr>
                <w:rFonts w:hint="eastAsia" w:ascii="宋体" w:hAnsi="宋体" w:eastAsia="宋体" w:cs="宋体"/>
                <w:color w:val="000000"/>
                <w:sz w:val="21"/>
                <w:szCs w:val="21"/>
              </w:rPr>
            </w:pPr>
          </w:p>
          <w:p>
            <w:pPr>
              <w:jc w:val="left"/>
              <w:rPr>
                <w:rFonts w:hint="eastAsia" w:ascii="宋体" w:hAnsi="宋体" w:eastAsia="宋体" w:cs="宋体"/>
                <w:color w:val="000000"/>
                <w:sz w:val="21"/>
                <w:szCs w:val="21"/>
              </w:rPr>
            </w:pPr>
          </w:p>
          <w:p>
            <w:pPr>
              <w:ind w:firstLine="420" w:firstLineChars="200"/>
              <w:jc w:val="left"/>
              <w:rPr>
                <w:rFonts w:hint="eastAsia" w:ascii="宋体" w:hAnsi="宋体" w:eastAsia="宋体" w:cs="宋体"/>
                <w:color w:val="000000"/>
                <w:sz w:val="21"/>
                <w:szCs w:val="21"/>
              </w:rPr>
            </w:pPr>
          </w:p>
          <w:p>
            <w:pPr>
              <w:ind w:firstLine="420" w:firstLineChars="200"/>
              <w:jc w:val="left"/>
              <w:rPr>
                <w:rFonts w:hint="eastAsia" w:ascii="宋体" w:hAnsi="宋体" w:eastAsia="宋体" w:cs="宋体"/>
                <w:color w:val="000000"/>
                <w:sz w:val="21"/>
                <w:szCs w:val="21"/>
              </w:rPr>
            </w:pPr>
          </w:p>
          <w:p>
            <w:pPr>
              <w:ind w:firstLine="420" w:firstLineChars="200"/>
              <w:jc w:val="left"/>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Before w:val="1"/>
          <w:gridAfter w:val="2"/>
          <w:wBefore w:w="86" w:type="pct"/>
          <w:wAfter w:w="138" w:type="pct"/>
          <w:trHeight w:val="360" w:hRule="atLeast"/>
        </w:trPr>
        <w:tc>
          <w:tcPr>
            <w:tcW w:w="356"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家庭成员及主要社会关系</w:t>
            </w:r>
          </w:p>
        </w:tc>
        <w:tc>
          <w:tcPr>
            <w:tcW w:w="668" w:type="pct"/>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称  谓</w:t>
            </w:r>
          </w:p>
        </w:tc>
        <w:tc>
          <w:tcPr>
            <w:tcW w:w="744" w:type="pct"/>
            <w:gridSpan w:val="3"/>
            <w:tcBorders>
              <w:top w:val="single" w:color="000000" w:sz="4" w:space="0"/>
              <w:left w:val="single" w:color="000000" w:sz="4" w:space="0"/>
              <w:bottom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姓  名</w:t>
            </w:r>
          </w:p>
        </w:tc>
        <w:tc>
          <w:tcPr>
            <w:tcW w:w="1866" w:type="pct"/>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工作单位及职务</w:t>
            </w:r>
          </w:p>
        </w:tc>
        <w:tc>
          <w:tcPr>
            <w:tcW w:w="1138" w:type="pct"/>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户籍所在地</w:t>
            </w:r>
          </w:p>
        </w:tc>
      </w:tr>
      <w:tr>
        <w:tblPrEx>
          <w:tblCellMar>
            <w:top w:w="15" w:type="dxa"/>
            <w:left w:w="15" w:type="dxa"/>
            <w:bottom w:w="15" w:type="dxa"/>
            <w:right w:w="15" w:type="dxa"/>
          </w:tblCellMar>
        </w:tblPrEx>
        <w:trPr>
          <w:gridBefore w:val="1"/>
          <w:gridAfter w:val="2"/>
          <w:wBefore w:w="86" w:type="pct"/>
          <w:wAfter w:w="138" w:type="pct"/>
          <w:trHeight w:val="454" w:hRule="atLeast"/>
        </w:trPr>
        <w:tc>
          <w:tcPr>
            <w:tcW w:w="356"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668"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744" w:type="pct"/>
            <w:gridSpan w:val="3"/>
            <w:tcBorders>
              <w:top w:val="single" w:color="000000" w:sz="4" w:space="0"/>
              <w:left w:val="single" w:color="000000" w:sz="4" w:space="0"/>
              <w:bottom w:val="single" w:color="000000" w:sz="4" w:space="0"/>
            </w:tcBorders>
            <w:vAlign w:val="center"/>
          </w:tcPr>
          <w:p>
            <w:pPr>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tc>
        <w:tc>
          <w:tcPr>
            <w:tcW w:w="1866" w:type="pct"/>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1138"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Before w:val="1"/>
          <w:gridAfter w:val="2"/>
          <w:wBefore w:w="86" w:type="pct"/>
          <w:wAfter w:w="138" w:type="pct"/>
          <w:trHeight w:val="454" w:hRule="atLeast"/>
        </w:trPr>
        <w:tc>
          <w:tcPr>
            <w:tcW w:w="356"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668"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744" w:type="pct"/>
            <w:gridSpan w:val="3"/>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color w:val="000000"/>
                <w:sz w:val="21"/>
                <w:szCs w:val="21"/>
              </w:rPr>
            </w:pPr>
          </w:p>
        </w:tc>
        <w:tc>
          <w:tcPr>
            <w:tcW w:w="1866" w:type="pct"/>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1138"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Before w:val="1"/>
          <w:gridAfter w:val="2"/>
          <w:wBefore w:w="86" w:type="pct"/>
          <w:wAfter w:w="138" w:type="pct"/>
          <w:trHeight w:val="454" w:hRule="atLeast"/>
        </w:trPr>
        <w:tc>
          <w:tcPr>
            <w:tcW w:w="356"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668"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744" w:type="pct"/>
            <w:gridSpan w:val="3"/>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color w:val="000000"/>
                <w:sz w:val="21"/>
                <w:szCs w:val="21"/>
              </w:rPr>
            </w:pPr>
          </w:p>
        </w:tc>
        <w:tc>
          <w:tcPr>
            <w:tcW w:w="1866" w:type="pct"/>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1138"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Before w:val="1"/>
          <w:gridAfter w:val="2"/>
          <w:wBefore w:w="86" w:type="pct"/>
          <w:wAfter w:w="138" w:type="pct"/>
          <w:trHeight w:val="454" w:hRule="atLeast"/>
        </w:trPr>
        <w:tc>
          <w:tcPr>
            <w:tcW w:w="356"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668"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744" w:type="pct"/>
            <w:gridSpan w:val="3"/>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color w:val="000000"/>
                <w:sz w:val="21"/>
                <w:szCs w:val="21"/>
              </w:rPr>
            </w:pPr>
          </w:p>
        </w:tc>
        <w:tc>
          <w:tcPr>
            <w:tcW w:w="1866" w:type="pct"/>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1138"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Before w:val="1"/>
          <w:gridAfter w:val="2"/>
          <w:wBefore w:w="86" w:type="pct"/>
          <w:wAfter w:w="138" w:type="pct"/>
          <w:trHeight w:val="454" w:hRule="atLeast"/>
        </w:trPr>
        <w:tc>
          <w:tcPr>
            <w:tcW w:w="356"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668"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744" w:type="pct"/>
            <w:gridSpan w:val="3"/>
            <w:tcBorders>
              <w:top w:val="single" w:color="000000" w:sz="4" w:space="0"/>
              <w:left w:val="single" w:color="000000" w:sz="4" w:space="0"/>
              <w:bottom w:val="single" w:color="000000" w:sz="4" w:space="0"/>
            </w:tcBorders>
            <w:vAlign w:val="center"/>
          </w:tcPr>
          <w:p>
            <w:pPr>
              <w:jc w:val="center"/>
              <w:rPr>
                <w:rFonts w:hint="eastAsia" w:ascii="宋体" w:hAnsi="宋体" w:eastAsia="宋体" w:cs="宋体"/>
                <w:color w:val="000000"/>
                <w:sz w:val="21"/>
                <w:szCs w:val="21"/>
              </w:rPr>
            </w:pPr>
          </w:p>
        </w:tc>
        <w:tc>
          <w:tcPr>
            <w:tcW w:w="1866" w:type="pct"/>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c>
          <w:tcPr>
            <w:tcW w:w="1138"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1"/>
                <w:szCs w:val="21"/>
              </w:rPr>
            </w:pPr>
          </w:p>
        </w:tc>
      </w:tr>
      <w:tr>
        <w:tblPrEx>
          <w:tblCellMar>
            <w:top w:w="15" w:type="dxa"/>
            <w:left w:w="15" w:type="dxa"/>
            <w:bottom w:w="15" w:type="dxa"/>
            <w:right w:w="15" w:type="dxa"/>
          </w:tblCellMar>
        </w:tblPrEx>
        <w:trPr>
          <w:gridBefore w:val="1"/>
          <w:gridAfter w:val="2"/>
          <w:wBefore w:w="86" w:type="pct"/>
          <w:wAfter w:w="138" w:type="pct"/>
          <w:trHeight w:val="2963" w:hRule="atLeast"/>
        </w:trPr>
        <w:tc>
          <w:tcPr>
            <w:tcW w:w="356"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应聘人员承诺</w:t>
            </w:r>
          </w:p>
        </w:tc>
        <w:tc>
          <w:tcPr>
            <w:tcW w:w="1980" w:type="pct"/>
            <w:gridSpan w:val="7"/>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 xml:space="preserve">   本人承诺所提供的材料真实有效，符合应聘所需的资格条件。如有弄虚作假，承诺自动放弃考试和聘用资格。</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 xml:space="preserve">         应聘人签名：</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 xml:space="preserve">            年    月    日</w:t>
            </w:r>
          </w:p>
        </w:tc>
        <w:tc>
          <w:tcPr>
            <w:tcW w:w="328"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拟招聘单位资格审查意见</w:t>
            </w:r>
          </w:p>
        </w:tc>
        <w:tc>
          <w:tcPr>
            <w:tcW w:w="2109" w:type="pct"/>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br w:type="textWrapping"/>
            </w:r>
          </w:p>
          <w:p>
            <w:pPr>
              <w:widowControl/>
              <w:jc w:val="center"/>
              <w:textAlignment w:val="center"/>
              <w:rPr>
                <w:rFonts w:hint="eastAsia" w:ascii="宋体" w:hAnsi="宋体" w:eastAsia="宋体" w:cs="宋体"/>
                <w:color w:val="000000"/>
                <w:kern w:val="0"/>
                <w:sz w:val="21"/>
                <w:szCs w:val="21"/>
                <w:lang w:bidi="ar"/>
              </w:rPr>
            </w:pPr>
          </w:p>
          <w:p>
            <w:pPr>
              <w:widowControl/>
              <w:jc w:val="center"/>
              <w:textAlignment w:val="center"/>
              <w:rPr>
                <w:rFonts w:hint="eastAsia" w:ascii="宋体" w:hAnsi="宋体" w:eastAsia="宋体" w:cs="宋体"/>
                <w:color w:val="000000"/>
                <w:kern w:val="0"/>
                <w:sz w:val="21"/>
                <w:szCs w:val="21"/>
                <w:lang w:bidi="ar"/>
              </w:rPr>
            </w:pPr>
          </w:p>
          <w:p>
            <w:pPr>
              <w:widowControl/>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         审查人签名：</w:t>
            </w:r>
          </w:p>
          <w:p>
            <w:pPr>
              <w:widowControl/>
              <w:ind w:firstLine="1260" w:firstLineChars="600"/>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单位（盖章）</w:t>
            </w:r>
            <w:r>
              <w:rPr>
                <w:rFonts w:hint="eastAsia" w:ascii="宋体" w:hAnsi="宋体" w:eastAsia="宋体" w:cs="宋体"/>
                <w:color w:val="000000"/>
                <w:kern w:val="0"/>
                <w:sz w:val="21"/>
                <w:szCs w:val="21"/>
                <w:lang w:bidi="ar"/>
              </w:rPr>
              <w:br w:type="textWrapping"/>
            </w:r>
          </w:p>
          <w:p>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 xml:space="preserve">                年    月    日</w:t>
            </w:r>
          </w:p>
        </w:tc>
      </w:tr>
    </w:tbl>
    <w:p>
      <w:pPr>
        <w:pStyle w:val="3"/>
        <w:ind w:left="0" w:leftChars="0" w:right="-210" w:rightChars="-100" w:firstLine="0" w:firstLineChars="0"/>
        <w:rPr>
          <w:rFonts w:ascii="仿宋_GB2312" w:hAnsi="仿宋_GB2312" w:eastAsia="仿宋_GB2312" w:cs="仿宋_GB2312"/>
        </w:rPr>
      </w:pPr>
    </w:p>
    <w:sectPr>
      <w:pgSz w:w="11906" w:h="16838"/>
      <w:pgMar w:top="1701"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A3B"/>
    <w:rsid w:val="00063150"/>
    <w:rsid w:val="00223644"/>
    <w:rsid w:val="004201B1"/>
    <w:rsid w:val="00463F41"/>
    <w:rsid w:val="00484F4B"/>
    <w:rsid w:val="00507CBA"/>
    <w:rsid w:val="005260E0"/>
    <w:rsid w:val="006321BB"/>
    <w:rsid w:val="006527CE"/>
    <w:rsid w:val="00674B25"/>
    <w:rsid w:val="00857B45"/>
    <w:rsid w:val="00872FF5"/>
    <w:rsid w:val="008F671C"/>
    <w:rsid w:val="00A22F7E"/>
    <w:rsid w:val="00A5232E"/>
    <w:rsid w:val="00B121D7"/>
    <w:rsid w:val="00BC43B7"/>
    <w:rsid w:val="00BE613D"/>
    <w:rsid w:val="00CD1614"/>
    <w:rsid w:val="00CF4A3B"/>
    <w:rsid w:val="00DA4185"/>
    <w:rsid w:val="00E262F7"/>
    <w:rsid w:val="00E37AC6"/>
    <w:rsid w:val="00E76FBA"/>
    <w:rsid w:val="00ED3942"/>
    <w:rsid w:val="00F94FC5"/>
    <w:rsid w:val="01006CEC"/>
    <w:rsid w:val="054C2405"/>
    <w:rsid w:val="083537CA"/>
    <w:rsid w:val="0B293BCA"/>
    <w:rsid w:val="128C0B1C"/>
    <w:rsid w:val="14827B45"/>
    <w:rsid w:val="16180646"/>
    <w:rsid w:val="18BC383B"/>
    <w:rsid w:val="1A297E89"/>
    <w:rsid w:val="1BE9403A"/>
    <w:rsid w:val="1CC314D0"/>
    <w:rsid w:val="1DD54797"/>
    <w:rsid w:val="25F82E0D"/>
    <w:rsid w:val="27D61437"/>
    <w:rsid w:val="2CF0011E"/>
    <w:rsid w:val="302A4210"/>
    <w:rsid w:val="30B85303"/>
    <w:rsid w:val="332357EB"/>
    <w:rsid w:val="361F047F"/>
    <w:rsid w:val="38541D57"/>
    <w:rsid w:val="3ABB09FC"/>
    <w:rsid w:val="3CDF5DFF"/>
    <w:rsid w:val="3E8C07C9"/>
    <w:rsid w:val="416D3437"/>
    <w:rsid w:val="47CB2CB9"/>
    <w:rsid w:val="49452C46"/>
    <w:rsid w:val="4C004E5D"/>
    <w:rsid w:val="4EE000BE"/>
    <w:rsid w:val="4FC82D92"/>
    <w:rsid w:val="51B75CFF"/>
    <w:rsid w:val="51F06BA5"/>
    <w:rsid w:val="53D64B77"/>
    <w:rsid w:val="53FC3A31"/>
    <w:rsid w:val="57BC15C7"/>
    <w:rsid w:val="58604378"/>
    <w:rsid w:val="58A112EF"/>
    <w:rsid w:val="5A51237D"/>
    <w:rsid w:val="5F5610A9"/>
    <w:rsid w:val="6017309D"/>
    <w:rsid w:val="63EC39FE"/>
    <w:rsid w:val="64CE2D00"/>
    <w:rsid w:val="65B22D9A"/>
    <w:rsid w:val="6AEC6653"/>
    <w:rsid w:val="6C265435"/>
    <w:rsid w:val="6FBE65B1"/>
    <w:rsid w:val="72885AFB"/>
    <w:rsid w:val="728F5665"/>
    <w:rsid w:val="72EA43D8"/>
    <w:rsid w:val="739A338E"/>
    <w:rsid w:val="78023D0F"/>
    <w:rsid w:val="78407C34"/>
    <w:rsid w:val="79BA3848"/>
    <w:rsid w:val="79E07BC8"/>
    <w:rsid w:val="7A5B6923"/>
    <w:rsid w:val="7DC16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qFormat/>
    <w:uiPriority w:val="0"/>
    <w:pPr>
      <w:spacing w:line="280" w:lineRule="exact"/>
      <w:ind w:left="810" w:leftChars="1" w:hanging="808" w:hangingChars="385"/>
    </w:pPr>
    <w:rPr>
      <w:rFonts w:ascii="宋体" w:hAnsi="宋体"/>
    </w:rPr>
  </w:style>
  <w:style w:type="paragraph" w:styleId="4">
    <w:name w:val="Date"/>
    <w:basedOn w:val="1"/>
    <w:next w:val="1"/>
    <w:link w:val="15"/>
    <w:semiHidden/>
    <w:unhideWhenUsed/>
    <w:qFormat/>
    <w:uiPriority w:val="99"/>
    <w:pPr>
      <w:ind w:left="100" w:leftChars="25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Autospacing="1" w:afterAutospacing="1"/>
      <w:jc w:val="left"/>
    </w:pPr>
    <w:rPr>
      <w:rFonts w:cs="Times New Roman"/>
      <w:kern w:val="0"/>
      <w:sz w:val="24"/>
    </w:rPr>
  </w:style>
  <w:style w:type="character" w:styleId="10">
    <w:name w:val="Strong"/>
    <w:basedOn w:val="9"/>
    <w:qFormat/>
    <w:uiPriority w:val="22"/>
    <w:rPr>
      <w:b/>
    </w:rPr>
  </w:style>
  <w:style w:type="character" w:styleId="11">
    <w:name w:val="Hyperlink"/>
    <w:basedOn w:val="9"/>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font01"/>
    <w:basedOn w:val="9"/>
    <w:qFormat/>
    <w:uiPriority w:val="0"/>
    <w:rPr>
      <w:rFonts w:hint="eastAsia" w:ascii="宋体" w:hAnsi="宋体" w:eastAsia="宋体" w:cs="宋体"/>
      <w:color w:val="000000"/>
      <w:sz w:val="24"/>
      <w:szCs w:val="24"/>
      <w:u w:val="none"/>
    </w:rPr>
  </w:style>
  <w:style w:type="character" w:customStyle="1" w:styleId="15">
    <w:name w:val="日期 Char"/>
    <w:basedOn w:val="9"/>
    <w:link w:val="4"/>
    <w:semiHidden/>
    <w:qFormat/>
    <w:uiPriority w:val="99"/>
    <w:rPr>
      <w:rFonts w:asciiTheme="minorHAnsi" w:hAnsiTheme="minorHAnsi" w:eastAsiaTheme="minorEastAsia" w:cstheme="minorBidi"/>
      <w:kern w:val="2"/>
      <w:sz w:val="21"/>
      <w:szCs w:val="22"/>
    </w:rPr>
  </w:style>
  <w:style w:type="character" w:customStyle="1" w:styleId="16">
    <w:name w:val="font21"/>
    <w:basedOn w:val="9"/>
    <w:qFormat/>
    <w:uiPriority w:val="0"/>
    <w:rPr>
      <w:rFonts w:hint="eastAsia" w:ascii="宋体" w:hAnsi="宋体" w:eastAsia="宋体" w:cs="宋体"/>
      <w:b/>
      <w:bCs/>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504</Words>
  <Characters>2876</Characters>
  <Lines>23</Lines>
  <Paragraphs>6</Paragraphs>
  <TotalTime>13</TotalTime>
  <ScaleCrop>false</ScaleCrop>
  <LinksUpToDate>false</LinksUpToDate>
  <CharactersWithSpaces>3374</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2020-10-09T09:22:00Z</dcterms:created>
  <dc:creator>8617339582569</dc:creator>
  <cp:lastModifiedBy>Lenovo</cp:lastModifiedBy>
  <cp:lastPrinted>2021-06-23T09:03:00Z</cp:lastPrinted>
  <dcterms:modified xsi:type="dcterms:W3CDTF">2021-06-24T09:49:01Z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88454D1BA6254E9A9C1C66B65606A869</vt:lpwstr>
  </property>
  <property fmtid="{D5CDD505-2E9C-101B-9397-08002B2CF9AE}" pid="4" name="KSOSaveFontToCloudKey">
    <vt:lpwstr>415088735_btnclosed</vt:lpwstr>
  </property>
</Properties>
</file>