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hd w:val="clear" w:color="auto" w:fill="FFFFFF"/>
        <w:spacing w:line="675" w:lineRule="atLeast"/>
        <w:outlineLvl w:val="1"/>
        <w:rPr>
          <w:rFonts w:ascii="黑体" w:eastAsia="黑体" w:cs="Helvetica"/>
          <w:color w:val="000000"/>
          <w:kern w:val="0"/>
          <w:sz w:val="28"/>
          <w:szCs w:val="28"/>
        </w:rPr>
      </w:pPr>
      <w:r>
        <w:rPr>
          <w:rFonts w:ascii="黑体" w:eastAsia="黑体" w:cs="Helvetica" w:hint="eastAsia"/>
          <w:color w:val="000000"/>
          <w:kern w:val="0"/>
          <w:sz w:val="28"/>
          <w:szCs w:val="28"/>
        </w:rPr>
        <w:t>附件</w:t>
      </w:r>
      <w:r>
        <w:rPr>
          <w:rFonts w:ascii="黑体" w:eastAsia="黑体" w:cs="Helvetica"/>
          <w:color w:val="000000"/>
          <w:kern w:val="0"/>
          <w:sz w:val="28"/>
          <w:szCs w:val="28"/>
        </w:rPr>
        <w:t>5</w:t>
      </w:r>
    </w:p>
    <w:p>
      <w:pPr>
        <w:widowControl/>
        <w:shd w:val="clear" w:color="auto" w:fill="FFFFFF"/>
        <w:spacing w:line="675" w:lineRule="atLeast"/>
        <w:outlineLvl w:val="1"/>
        <w:rPr>
          <w:rFonts w:ascii="黑体" w:eastAsia="黑体" w:cs="Helvetica" w:hint="eastAsia"/>
          <w:color w:val="000000"/>
          <w:kern w:val="0"/>
          <w:sz w:val="28"/>
          <w:szCs w:val="28"/>
        </w:rPr>
      </w:pPr>
      <w:bookmarkStart w:id="0" w:name="_GoBack"/>
      <w:bookmarkEnd w:id="0"/>
    </w:p>
    <w:p>
      <w:pPr>
        <w:widowControl/>
        <w:shd w:val="clear" w:color="auto" w:fill="FFFFFF"/>
        <w:spacing w:line="600" w:lineRule="exact"/>
        <w:jc w:val="center"/>
        <w:outlineLvl w:val="1"/>
        <w:rPr>
          <w:rFonts w:ascii="Helvetica" w:eastAsia="宋体" w:cs="Helvetica" w:hAnsi="Helvetica"/>
          <w:color w:val="000000"/>
          <w:kern w:val="0"/>
          <w:sz w:val="45"/>
          <w:szCs w:val="45"/>
        </w:rPr>
      </w:pPr>
      <w:r>
        <w:rPr>
          <w:rFonts w:ascii="Helvetica" w:eastAsia="宋体" w:cs="Helvetica" w:hAnsi="Helvetica"/>
          <w:color w:val="000000"/>
          <w:kern w:val="0"/>
          <w:sz w:val="45"/>
          <w:szCs w:val="45"/>
        </w:rPr>
        <w:t>贵州省2022年人事考试新冠肺炎疫情防控要求（第三版）</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p>
    <w:p>
      <w:pPr>
        <w:pStyle w:val="17"/>
        <w:shd w:val="clear" w:color="auto" w:fill="FFFFFF"/>
        <w:spacing w:before="0" w:beforeAutospacing="0" w:after="0" w:afterAutospacing="0" w:line="560" w:lineRule="exact"/>
        <w:ind w:left="0" w:firstLineChars="200" w:firstLine="640"/>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凡报名参加由贵州省人力资源和社会保障厅考试院（贵州省公务员考试测评中心）组织实施的2022年各项人事考试的考生，须严格遵守《贵州省2022年人事考试新冠肺炎疫情防控要求（第三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健康码绿码、国家通信行程卡、核酸采样证明、核酸检测阴性证明等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一、疫情防控要求</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根据贵州省最新疫情防控规定，对参加贵州省各项人事考试的考生防疫要求如下：</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（一）不符合国家、省有关疫情防控要求，不遵守有关疫情防控规定的人员不得进入考点参加考试。</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（二）处于康复或隔离期的病例、无症状感染者不得进入考点参加考试。</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（三）未解除隔离的疑似病例、确诊病例以及无症状感染者的密切接触者不得进入考点参加考试。</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（四）处于集中隔离、居家健康监测期间的人员不得进入考点参加考试。</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（五）对流动、出行须报备并提供相应证明材料的人员，未按要求报备或未按要求提供相应证明材料的不得进入考点参加考试。</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（六）考试当天，经现场医务人员评估有可疑症状且不能排除新冠感染的考生，应配合工作人员按卫生健康部门要求到相应医院就诊，不得进入考点参加考试。</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（七）考前14天内有中高风险地区旅居史的考生，不得进入考点参加考试。</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（八）目前上海市低风险地区来（返）黔人员，未完成3天集中隔离+7天居家健康监测，未达到解除条件的考生不得进入考点参加考试。</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九）贵州健康码灰码人员不得进入考点参加考试。（按贵州省最新疫情防控规定，灰码人员需落实5天3检，包括时空交集人员、14天内有本土新冠肺炎阳性感染者所在地级市（直辖市为区）的低风险地区旅居史人员、行程卡带星号人员、陆地口岸城市来（返）黔人员中未携带48小时内核酸检测阴性证明的人员及其他需落实5天3检的人员。上述人员抵黔当天贵州健康码不转为灰码，但若抵黔后超过24小时未完成第1次核酸采样、抵黔后超过72小时未完成第2次核酸采样、抵黔后超过5天未完成第3次核酸采样的，贵州健康码都将变为灰码。按以上要求完成相应次数的核酸采样后，转为绿码。建议省外来（返）黔考生密切关注贵州健康码关于5天3检的信息提示，需落实5天3检的考生，务必严格按要求完成核酸采样，避免出现灰码情况。）</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十）除符合其他防疫要求外，所有考生均须提供贵州省内考前48小时内1次核酸检测阴性证明，方可进入考点参加考试。在连续两天举行的我省人事考试中，第二天考试时提供第一天考试时提供的核酸检测阴性证明即可。（需落实5天3检的考生，其5天3检中任意一次核酸检测阴性证明采样时间在考前48小时以内的，无需再重复提供考前48小时内的核酸检测阴性证明，第二天继续参加考试的，除提供第一天考试时的核酸检测阴性证明外，还须同时确保按5天3检要求完成相应次数的核酸采样。）</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（十一）原则上所有考生均须按照应接尽接、应接必接的要求完成新冠疫苗全程接种及加强免疫。</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（十二）考生应自备一次性使用医用口罩。考试期间，除核验身份时，考生应全程规范佩戴一次性使用医用口罩。未按要求佩戴口罩的考生，不得进入考点参加考试。</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十三）各科目开考前100分钟，考生即可开始接受检测进入考点，但不能进入考场。考生应尽早到达考点，提前做好入场检测准备，确保入场检测时间充足、秩序良好。不符合入场检测规定的考生，不得进入考点参加考试。</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十四）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十五）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十六）为确保顺利参加考试，建议考生关注国务院客户端微信公众号，在便民服务栏里点击各地防控政策选择出发地和目的地，及时了解各地的防控政策；建议考生提前做好个人健康申报、提前预约核酸检测、提前进行自我健康状况监测和贵州健康码绿码核验，若贵州健康码与本人状况不符，请立即咨询并及时按要求处置；为避免14天内所旅居地级市（直辖市为区）出现本土新冠肺炎阳性感染者影响考生参加考试，建议考生提前抵黔，为进行相应次数的核酸检测预留足够时间。</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贵州健康码使用和贵州省疫情防控咨询电话：0851-12345。</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二、入场检测规定</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入场检测时，考生须同时符合以下全部要求，方可进入考点参加考试：</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（一）本人贵州健康码绿码；</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（二）经检测体温正常（低于37.3</w:t>
      </w:r>
      <w:r>
        <w:rPr>
          <w:rFonts w:ascii="仿宋_GB2312" w:eastAsia="仿宋_GB2312" w:hint="eastAsia"/>
          <w:color w:val="000000"/>
          <w:sz w:val="32"/>
          <w:szCs w:val="32"/>
        </w:rPr>
        <w:t>℃</w:t>
      </w:r>
      <w:r>
        <w:rPr>
          <w:rFonts w:ascii="仿宋_GB2312" w:eastAsia="仿宋_GB2312" w:cs="Helvetica" w:hint="eastAsia"/>
          <w:color w:val="000000"/>
          <w:sz w:val="32"/>
          <w:szCs w:val="32"/>
        </w:rPr>
        <w:t>）；</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（三）佩戴一次性使用医用口罩；</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（四）按本文规定提供相应的核酸采样证明、核酸检测阴性证明。</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三、入场检测步骤</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考生须佩戴一次性使用医用口罩提前到达检测点排队，入场检测通道分别设置特殊检测通道和常规检测通道两类。</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（一）特殊检测通道</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需落实5天3检的考生（即贵州健康码出现温馨提示弹窗或首页出现需5天3检标识）、国家通信行程卡带星号的考生、14天内有本土新冠肺炎阳性感染者所在地级市（直辖市为区）低风险地区旅居史的考生，须主动进入特殊检测通道。</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具体检测步骤如下：</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考生到特殊检测通道提交考试当天本人贵州健康码绿码、抵黔后按5天3检要求完成的相应次数的核酸采样证明、贵州省内考前48小时内1次核酸检测阴性证明、《准考证》等相应证明材料报检测人员核验并接受体温检测。经检测合格的，检测人员在《准考证》上加盖入场检测合格章。</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（二）常规检测通道</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其余考生进入常规检测通道，常规检测通道分两步进行检测，具体检测步骤如下：</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1.第一步检测</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考生须提前准备好考试当天本人贵州健康码绿码、贵州省内考前48小时内1次核酸检测阴性证明和《准考证》报检测人员核验并接受体温检测。</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经第一步检测合格的，迅速前往第二步检测点。</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2.第二步检测</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考生前往第二步检测点过程中须提前准备好考试当天本人国家通信行程卡和《准考证》报检测人员核验。国家通信行程卡可通过在贵州健康码下方点击行程卡直接转入，或通过扫码打开。</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经第二步检测合格的，检测人员在《准考证》上加盖入场检测合格章。</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如发现需落实5天3检的考生，立即转入特殊检测通道检测。</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（三）临时隔离检查点</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符合其他疫情防控要求，但体温≥37.3</w:t>
      </w:r>
      <w:r>
        <w:rPr>
          <w:rFonts w:ascii="仿宋_GB2312" w:eastAsia="仿宋_GB2312" w:hint="eastAsia"/>
          <w:color w:val="000000"/>
          <w:sz w:val="32"/>
          <w:szCs w:val="32"/>
        </w:rPr>
        <w:t>℃</w:t>
      </w:r>
      <w:r>
        <w:rPr>
          <w:rFonts w:ascii="仿宋_GB2312" w:eastAsia="仿宋_GB2312" w:cs="Helvetica" w:hint="eastAsia"/>
          <w:color w:val="000000"/>
          <w:sz w:val="32"/>
          <w:szCs w:val="32"/>
        </w:rPr>
        <w:t>的考生，须立即进入临时隔离检查点，间隔15分钟后，由现场医务人员使用水银体温计进行体温复测，经复测体温正常（低于37.3</w:t>
      </w:r>
      <w:r>
        <w:rPr>
          <w:rFonts w:ascii="仿宋_GB2312" w:eastAsia="仿宋_GB2312" w:hint="eastAsia"/>
          <w:color w:val="000000"/>
          <w:sz w:val="32"/>
          <w:szCs w:val="32"/>
        </w:rPr>
        <w:t>℃</w:t>
      </w:r>
      <w:r>
        <w:rPr>
          <w:rFonts w:ascii="仿宋_GB2312" w:eastAsia="仿宋_GB2312" w:cs="Helvetica" w:hint="eastAsia"/>
          <w:color w:val="000000"/>
          <w:sz w:val="32"/>
          <w:szCs w:val="32"/>
        </w:rPr>
        <w:t>）的，可参加考试。经复测体温仍≥37.3</w:t>
      </w:r>
      <w:r>
        <w:rPr>
          <w:rFonts w:ascii="仿宋_GB2312" w:eastAsia="仿宋_GB2312" w:hint="eastAsia"/>
          <w:color w:val="000000"/>
          <w:sz w:val="32"/>
          <w:szCs w:val="32"/>
        </w:rPr>
        <w:t>℃</w:t>
      </w:r>
      <w:r>
        <w:rPr>
          <w:rFonts w:ascii="仿宋_GB2312" w:eastAsia="仿宋_GB2312" w:cs="Helvetica" w:hint="eastAsia"/>
          <w:color w:val="000000"/>
          <w:sz w:val="32"/>
          <w:szCs w:val="32"/>
        </w:rPr>
        <w:t>的，不得进入考点参加考试。</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四、《贵州省2022年人事考试新冠肺炎疫情防控要求（第二版）》停止使用。</w:t>
      </w:r>
    </w:p>
    <w:p>
      <w:pPr>
        <w:pStyle w:val="17"/>
        <w:shd w:val="clear" w:color="auto" w:fill="FFFFFF"/>
        <w:spacing w:before="0" w:beforeAutospacing="0" w:after="0" w:afterAutospacing="0" w:line="560" w:lineRule="exact"/>
        <w:ind w:firstLineChars="177" w:firstLine="566"/>
        <w:jc w:val="both"/>
        <w:rPr>
          <w:rFonts w:ascii="仿宋_GB2312" w:eastAsia="仿宋_GB2312" w:cs="Helvetica" w:hint="eastAsia"/>
          <w:color w:val="000000"/>
          <w:sz w:val="32"/>
          <w:szCs w:val="32"/>
        </w:rPr>
      </w:pPr>
      <w:r>
        <w:rPr>
          <w:rFonts w:ascii="仿宋_GB2312" w:eastAsia="仿宋_GB2312" w:cs="Helvetica" w:hint="eastAsia"/>
          <w:color w:val="000000"/>
          <w:sz w:val="32"/>
          <w:szCs w:val="32"/>
        </w:rPr>
        <w:t>五、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spacing w:line="560" w:lineRule="exact"/>
        <w:ind w:firstLineChars="177" w:firstLine="566"/>
        <w:rPr>
          <w:rFonts w:ascii="仿宋_GB2312" w:eastAsia="仿宋_GB2312" w:hint="eastAsia"/>
          <w:sz w:val="32"/>
          <w:szCs w:val="32"/>
        </w:rPr>
      </w:pPr>
    </w:p>
    <w:sectPr>
      <w:pgSz w:w="11907" w:h="16840"/>
      <w:pgMar w:top="1814" w:right="1474" w:bottom="1928"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Helvetica">
    <w:altName w:val="DejaVu Sans"/>
    <w:panose1 w:val="020B0604020202020204"/>
    <w:charset w:val="00"/>
    <w:family w:val="swiss"/>
    <w:pitch w:val="variable"/>
    <w:sig w:usb0="E0002AFF" w:usb1="C0007843" w:usb2="00000009" w:usb3="00000000" w:csb0="000001FF" w:csb1="00000000"/>
  </w:font>
  <w:font w:name="宋体">
    <w:altName w:val="文泉驿微米黑"/>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variable"/>
    <w:sig w:usb0="00000001" w:usb1="080E0000" w:usb2="00000010" w:usb3="00000000" w:csb0="00040000" w:csb1="00000000"/>
  </w:font>
  <w:font w:name="Times New Roman">
    <w:panose1 w:val="02020603050405020304"/>
    <w:charset w:val="00"/>
    <w:family w:val="auto"/>
    <w:pitch w:val="variable"/>
    <w:sig w:usb0="00000A87" w:usb1="00000000" w:usb2="00000000" w:usb3="00000000" w:csb0="400001BF" w:csb1="DFF70000"/>
  </w:font>
  <w:font w:name="Calibri">
    <w:altName w:val="Times New Roman"/>
    <w:panose1 w:val="020F0502020204030204"/>
    <w:charset w:val="00"/>
    <w:family w:val="swiss"/>
    <w:pitch w:val="variable"/>
    <w:sig w:usb0="E00002FF" w:usb1="4000ACFF" w:usb2="00000001" w:usb3="00000000" w:csb0="0000019F" w:csb1="00000000"/>
  </w:font>
  <w:font w:name="Arial">
    <w:altName w:val="DejaVu Sans"/>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pPr>
      <w:widowControl/>
      <w:spacing w:before="100" w:beforeAutospacing="1" w:after="100" w:afterAutospacing="1"/>
      <w:jc w:val="left"/>
      <w:outlineLvl w:val="1"/>
    </w:pPr>
    <w:rPr>
      <w:rFonts w:ascii="宋体" w:eastAsia="宋体" w:cs="宋体"/>
      <w:b/>
      <w:bCs/>
      <w:kern w:val="0"/>
      <w:sz w:val="36"/>
      <w:szCs w:val="36"/>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Normal (Web)"/>
    <w:basedOn w:val="0"/>
    <w:pPr>
      <w:widowControl/>
      <w:spacing w:before="100" w:beforeAutospacing="1" w:after="100" w:afterAutospacing="1"/>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27</TotalTime>
  <Application>Yozo_Office27021597764231179</Application>
  <Pages>7</Pages>
  <Words>3253</Words>
  <Characters>3304</Characters>
  <Lines>146</Lines>
  <Paragraphs>48</Paragraphs>
  <CharactersWithSpaces>3304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人力资源市场处收发员</dc:creator>
  <cp:lastModifiedBy>ysgz</cp:lastModifiedBy>
  <cp:revision>4</cp:revision>
  <cp:lastPrinted>2022-07-06T02:18:25Z</cp:lastPrinted>
  <dcterms:created xsi:type="dcterms:W3CDTF">2022-07-05T01:42:00Z</dcterms:created>
  <dcterms:modified xsi:type="dcterms:W3CDTF">2022-07-06T10:59:52Z</dcterms:modified>
</cp:coreProperties>
</file>